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center" w:tblpY="2479"/>
        <w:tblW w:w="9828" w:type="dxa"/>
        <w:tblInd w:w="0" w:type="dxa"/>
        <w:tblLook w:val="04A0" w:firstRow="1" w:lastRow="0" w:firstColumn="1" w:lastColumn="0" w:noHBand="0" w:noVBand="1"/>
      </w:tblPr>
      <w:tblGrid>
        <w:gridCol w:w="746"/>
        <w:gridCol w:w="4564"/>
        <w:gridCol w:w="3618"/>
        <w:gridCol w:w="900"/>
      </w:tblGrid>
      <w:tr w:rsidR="00021A86" w:rsidRPr="00412FE5" w14:paraId="0347ACF4" w14:textId="77777777" w:rsidTr="005D42CA">
        <w:tc>
          <w:tcPr>
            <w:tcW w:w="9828" w:type="dxa"/>
            <w:gridSpan w:val="4"/>
            <w:tcBorders>
              <w:top w:val="nil"/>
              <w:left w:val="nil"/>
              <w:bottom w:val="single" w:sz="4" w:space="0" w:color="auto"/>
              <w:right w:val="nil"/>
            </w:tcBorders>
            <w:hideMark/>
          </w:tcPr>
          <w:p w14:paraId="157F566A" w14:textId="77777777" w:rsidR="00887D79" w:rsidRPr="00412FE5" w:rsidRDefault="00887D79" w:rsidP="00021A86">
            <w:pPr>
              <w:tabs>
                <w:tab w:val="left" w:pos="2160"/>
              </w:tabs>
              <w:jc w:val="center"/>
              <w:rPr>
                <w:rFonts w:ascii="Times New Roman" w:hAnsi="Times New Roman"/>
                <w:b/>
                <w:color w:val="000000" w:themeColor="text1"/>
                <w:sz w:val="28"/>
                <w:szCs w:val="28"/>
              </w:rPr>
            </w:pPr>
            <w:r w:rsidRPr="00412FE5">
              <w:rPr>
                <w:rFonts w:ascii="Times New Roman" w:hAnsi="Times New Roman"/>
                <w:b/>
                <w:color w:val="000000" w:themeColor="text1"/>
                <w:sz w:val="28"/>
                <w:szCs w:val="28"/>
              </w:rPr>
              <w:t>MỤC LỤC</w:t>
            </w:r>
          </w:p>
          <w:p w14:paraId="19F5BC5B" w14:textId="6ADC0381" w:rsidR="003C0F08" w:rsidRPr="00412FE5" w:rsidRDefault="003C0F08" w:rsidP="00021A86">
            <w:pPr>
              <w:tabs>
                <w:tab w:val="left" w:pos="2160"/>
              </w:tabs>
              <w:jc w:val="both"/>
              <w:rPr>
                <w:rFonts w:ascii="Times New Roman" w:hAnsi="Times New Roman"/>
                <w:b/>
                <w:color w:val="000000" w:themeColor="text1"/>
                <w:sz w:val="28"/>
                <w:szCs w:val="28"/>
              </w:rPr>
            </w:pPr>
          </w:p>
        </w:tc>
      </w:tr>
      <w:tr w:rsidR="00021A86" w:rsidRPr="00412FE5" w14:paraId="1B230B8C" w14:textId="77777777" w:rsidTr="00161653">
        <w:trPr>
          <w:trHeight w:val="422"/>
        </w:trPr>
        <w:tc>
          <w:tcPr>
            <w:tcW w:w="746" w:type="dxa"/>
            <w:tcBorders>
              <w:top w:val="single" w:sz="4" w:space="0" w:color="auto"/>
              <w:left w:val="single" w:sz="4" w:space="0" w:color="auto"/>
              <w:bottom w:val="single" w:sz="4" w:space="0" w:color="auto"/>
              <w:right w:val="single" w:sz="4" w:space="0" w:color="auto"/>
            </w:tcBorders>
            <w:hideMark/>
          </w:tcPr>
          <w:p w14:paraId="6FC2C176" w14:textId="77777777" w:rsidR="00887D79" w:rsidRPr="00412FE5" w:rsidRDefault="00887D79" w:rsidP="00021A86">
            <w:pPr>
              <w:tabs>
                <w:tab w:val="left" w:pos="2160"/>
              </w:tabs>
              <w:jc w:val="center"/>
              <w:rPr>
                <w:rFonts w:ascii="Times New Roman" w:hAnsi="Times New Roman"/>
                <w:b/>
                <w:color w:val="000000" w:themeColor="text1"/>
                <w:sz w:val="28"/>
                <w:szCs w:val="28"/>
                <w:lang w:val="pt-BR"/>
              </w:rPr>
            </w:pPr>
            <w:r w:rsidRPr="00412FE5">
              <w:rPr>
                <w:rFonts w:ascii="Times New Roman" w:hAnsi="Times New Roman"/>
                <w:b/>
                <w:color w:val="000000" w:themeColor="text1"/>
                <w:sz w:val="28"/>
                <w:szCs w:val="28"/>
              </w:rPr>
              <w:t>S</w:t>
            </w:r>
            <w:r w:rsidRPr="00412FE5">
              <w:rPr>
                <w:rFonts w:ascii="Times New Roman" w:hAnsi="Times New Roman"/>
                <w:b/>
                <w:color w:val="000000" w:themeColor="text1"/>
                <w:sz w:val="28"/>
                <w:szCs w:val="28"/>
                <w:lang w:val="pt-BR"/>
              </w:rPr>
              <w:t>TT</w:t>
            </w:r>
          </w:p>
        </w:tc>
        <w:tc>
          <w:tcPr>
            <w:tcW w:w="4564" w:type="dxa"/>
            <w:tcBorders>
              <w:top w:val="single" w:sz="4" w:space="0" w:color="auto"/>
              <w:left w:val="single" w:sz="4" w:space="0" w:color="auto"/>
              <w:bottom w:val="single" w:sz="4" w:space="0" w:color="auto"/>
              <w:right w:val="single" w:sz="4" w:space="0" w:color="auto"/>
            </w:tcBorders>
            <w:hideMark/>
          </w:tcPr>
          <w:p w14:paraId="1D84CE3F" w14:textId="77777777" w:rsidR="00887D79" w:rsidRPr="00412FE5" w:rsidRDefault="00887D79" w:rsidP="00021A86">
            <w:pPr>
              <w:tabs>
                <w:tab w:val="left" w:pos="2160"/>
              </w:tabs>
              <w:jc w:val="center"/>
              <w:rPr>
                <w:rFonts w:ascii="Times New Roman" w:hAnsi="Times New Roman"/>
                <w:b/>
                <w:color w:val="000000" w:themeColor="text1"/>
                <w:sz w:val="28"/>
                <w:szCs w:val="28"/>
                <w:lang w:val="pt-BR"/>
              </w:rPr>
            </w:pPr>
            <w:r w:rsidRPr="00412FE5">
              <w:rPr>
                <w:rFonts w:ascii="Times New Roman" w:hAnsi="Times New Roman"/>
                <w:b/>
                <w:color w:val="000000" w:themeColor="text1"/>
                <w:sz w:val="28"/>
                <w:szCs w:val="28"/>
                <w:lang w:val="vi-VN"/>
              </w:rPr>
              <w:t>T</w:t>
            </w:r>
            <w:r w:rsidRPr="00412FE5">
              <w:rPr>
                <w:rFonts w:ascii="Times New Roman" w:hAnsi="Times New Roman"/>
                <w:b/>
                <w:color w:val="000000" w:themeColor="text1"/>
                <w:sz w:val="28"/>
                <w:szCs w:val="28"/>
                <w:lang w:eastAsia="ja-JP"/>
              </w:rPr>
              <w:t>ham luận</w:t>
            </w:r>
          </w:p>
        </w:tc>
        <w:tc>
          <w:tcPr>
            <w:tcW w:w="3618" w:type="dxa"/>
            <w:tcBorders>
              <w:top w:val="single" w:sz="4" w:space="0" w:color="auto"/>
              <w:left w:val="single" w:sz="4" w:space="0" w:color="auto"/>
              <w:bottom w:val="single" w:sz="4" w:space="0" w:color="auto"/>
              <w:right w:val="single" w:sz="4" w:space="0" w:color="auto"/>
            </w:tcBorders>
          </w:tcPr>
          <w:p w14:paraId="0AE9138B" w14:textId="77777777" w:rsidR="00887D79" w:rsidRPr="00412FE5" w:rsidRDefault="00887D79" w:rsidP="00021A86">
            <w:pPr>
              <w:spacing w:after="200" w:line="276" w:lineRule="auto"/>
              <w:jc w:val="center"/>
              <w:rPr>
                <w:rFonts w:ascii="Times New Roman" w:eastAsia="MS Mincho" w:hAnsi="Times New Roman"/>
                <w:b/>
                <w:color w:val="000000" w:themeColor="text1"/>
                <w:sz w:val="28"/>
                <w:szCs w:val="28"/>
                <w:lang w:eastAsia="ja-JP"/>
              </w:rPr>
            </w:pPr>
            <w:r w:rsidRPr="00412FE5">
              <w:rPr>
                <w:rFonts w:ascii="Times New Roman" w:hAnsi="Times New Roman"/>
                <w:b/>
                <w:color w:val="000000" w:themeColor="text1"/>
                <w:sz w:val="28"/>
                <w:szCs w:val="28"/>
                <w:lang w:eastAsia="ja-JP"/>
              </w:rPr>
              <w:t>Chuyên gia tham luận</w:t>
            </w:r>
          </w:p>
          <w:p w14:paraId="2A9F6801" w14:textId="77777777" w:rsidR="00887D79" w:rsidRPr="00412FE5" w:rsidRDefault="00887D79" w:rsidP="00021A86">
            <w:pPr>
              <w:tabs>
                <w:tab w:val="left" w:pos="2160"/>
              </w:tabs>
              <w:jc w:val="center"/>
              <w:rPr>
                <w:rFonts w:ascii="Times New Roman" w:hAnsi="Times New Roman"/>
                <w:b/>
                <w:color w:val="000000" w:themeColor="text1"/>
                <w:sz w:val="28"/>
                <w:szCs w:val="28"/>
              </w:rPr>
            </w:pPr>
          </w:p>
        </w:tc>
        <w:tc>
          <w:tcPr>
            <w:tcW w:w="900" w:type="dxa"/>
            <w:tcBorders>
              <w:top w:val="single" w:sz="4" w:space="0" w:color="auto"/>
              <w:left w:val="single" w:sz="4" w:space="0" w:color="auto"/>
              <w:bottom w:val="single" w:sz="4" w:space="0" w:color="auto"/>
              <w:right w:val="single" w:sz="4" w:space="0" w:color="auto"/>
            </w:tcBorders>
            <w:hideMark/>
          </w:tcPr>
          <w:p w14:paraId="4065C428" w14:textId="77777777" w:rsidR="00887D79" w:rsidRPr="00412FE5" w:rsidRDefault="00887D79" w:rsidP="00021A86">
            <w:pPr>
              <w:tabs>
                <w:tab w:val="left" w:pos="2160"/>
              </w:tabs>
              <w:jc w:val="center"/>
              <w:rPr>
                <w:rFonts w:ascii="Times New Roman" w:hAnsi="Times New Roman"/>
                <w:b/>
                <w:color w:val="000000" w:themeColor="text1"/>
                <w:sz w:val="28"/>
                <w:szCs w:val="28"/>
              </w:rPr>
            </w:pPr>
            <w:r w:rsidRPr="00412FE5">
              <w:rPr>
                <w:rFonts w:ascii="Times New Roman" w:hAnsi="Times New Roman"/>
                <w:b/>
                <w:color w:val="000000" w:themeColor="text1"/>
                <w:sz w:val="28"/>
                <w:szCs w:val="28"/>
              </w:rPr>
              <w:t>Số trang</w:t>
            </w:r>
          </w:p>
        </w:tc>
      </w:tr>
      <w:tr w:rsidR="00712807" w:rsidRPr="00412FE5" w14:paraId="71067751" w14:textId="77777777" w:rsidTr="00161653">
        <w:trPr>
          <w:trHeight w:val="287"/>
        </w:trPr>
        <w:tc>
          <w:tcPr>
            <w:tcW w:w="746" w:type="dxa"/>
            <w:tcBorders>
              <w:top w:val="single" w:sz="4" w:space="0" w:color="auto"/>
              <w:left w:val="single" w:sz="4" w:space="0" w:color="auto"/>
              <w:bottom w:val="single" w:sz="4" w:space="0" w:color="auto"/>
              <w:right w:val="single" w:sz="4" w:space="0" w:color="auto"/>
            </w:tcBorders>
          </w:tcPr>
          <w:p w14:paraId="44408A04" w14:textId="75A78C00"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1</w:t>
            </w:r>
          </w:p>
        </w:tc>
        <w:tc>
          <w:tcPr>
            <w:tcW w:w="4564" w:type="dxa"/>
            <w:tcBorders>
              <w:top w:val="single" w:sz="4" w:space="0" w:color="auto"/>
              <w:left w:val="single" w:sz="4" w:space="0" w:color="auto"/>
              <w:bottom w:val="single" w:sz="4" w:space="0" w:color="auto"/>
              <w:right w:val="single" w:sz="4" w:space="0" w:color="auto"/>
            </w:tcBorders>
          </w:tcPr>
          <w:p w14:paraId="7AFB92E4" w14:textId="7E853354" w:rsidR="00712807" w:rsidRPr="00412FE5" w:rsidRDefault="00712807" w:rsidP="00712807">
            <w:pPr>
              <w:jc w:val="both"/>
              <w:rPr>
                <w:rFonts w:ascii="Times New Roman" w:hAnsi="Times New Roman"/>
                <w:color w:val="000000" w:themeColor="text1"/>
                <w:sz w:val="28"/>
                <w:szCs w:val="28"/>
                <w:lang w:val="pt-BR"/>
              </w:rPr>
            </w:pPr>
            <w:r w:rsidRPr="00412FE5">
              <w:rPr>
                <w:rFonts w:ascii="Times New Roman" w:hAnsi="Times New Roman"/>
                <w:color w:val="000000" w:themeColor="text1"/>
                <w:sz w:val="28"/>
                <w:szCs w:val="28"/>
                <w:lang w:val="pt-BR"/>
              </w:rPr>
              <w:t xml:space="preserve">Tham luận: </w:t>
            </w:r>
            <w:r w:rsidRPr="00412FE5">
              <w:rPr>
                <w:rFonts w:ascii="Times New Roman" w:hAnsi="Times New Roman"/>
                <w:bCs/>
                <w:color w:val="000000" w:themeColor="text1"/>
                <w:kern w:val="36"/>
                <w:sz w:val="28"/>
                <w:szCs w:val="28"/>
                <w:lang w:val="pt-BR"/>
              </w:rPr>
              <w:t xml:space="preserve">Các hình thức huy động vốn của các doanh nghiệp tại Việt Nam </w:t>
            </w:r>
          </w:p>
        </w:tc>
        <w:tc>
          <w:tcPr>
            <w:tcW w:w="3618" w:type="dxa"/>
            <w:tcBorders>
              <w:top w:val="single" w:sz="4" w:space="0" w:color="auto"/>
              <w:left w:val="single" w:sz="4" w:space="0" w:color="auto"/>
              <w:bottom w:val="single" w:sz="4" w:space="0" w:color="auto"/>
              <w:right w:val="single" w:sz="4" w:space="0" w:color="auto"/>
            </w:tcBorders>
          </w:tcPr>
          <w:p w14:paraId="203F340F" w14:textId="66413F76" w:rsidR="00712807" w:rsidRPr="00412FE5" w:rsidRDefault="000B5E59" w:rsidP="00712807">
            <w:pPr>
              <w:jc w:val="both"/>
              <w:rPr>
                <w:rFonts w:ascii="Times New Roman" w:hAnsi="Times New Roman"/>
                <w:color w:val="000000" w:themeColor="text1"/>
                <w:sz w:val="28"/>
                <w:szCs w:val="28"/>
              </w:rPr>
            </w:pPr>
            <w:r w:rsidRPr="00412FE5">
              <w:rPr>
                <w:rFonts w:ascii="Times New Roman" w:hAnsi="Times New Roman"/>
                <w:bCs/>
                <w:color w:val="000000" w:themeColor="text1"/>
                <w:sz w:val="28"/>
                <w:szCs w:val="28"/>
              </w:rPr>
              <w:t xml:space="preserve">Luật sư Lê Xuân Thăng </w:t>
            </w:r>
            <w:r w:rsidR="00712807" w:rsidRPr="00412FE5">
              <w:rPr>
                <w:rFonts w:ascii="Times New Roman" w:hAnsi="Times New Roman"/>
                <w:bCs/>
                <w:color w:val="000000" w:themeColor="text1"/>
                <w:sz w:val="28"/>
                <w:szCs w:val="28"/>
              </w:rPr>
              <w:t xml:space="preserve"> - </w:t>
            </w:r>
            <w:r w:rsidRPr="00412FE5">
              <w:rPr>
                <w:rFonts w:ascii="Times New Roman" w:hAnsi="Times New Roman"/>
                <w:bCs/>
                <w:color w:val="000000" w:themeColor="text1"/>
                <w:sz w:val="28"/>
                <w:szCs w:val="28"/>
                <w:lang w:val="nl-NL"/>
              </w:rPr>
              <w:t>Viện Nghiên cứu Thị trường – Truyền thông Quốc tế (IMRIC)</w:t>
            </w:r>
          </w:p>
        </w:tc>
        <w:tc>
          <w:tcPr>
            <w:tcW w:w="900" w:type="dxa"/>
            <w:tcBorders>
              <w:top w:val="single" w:sz="4" w:space="0" w:color="auto"/>
              <w:left w:val="single" w:sz="4" w:space="0" w:color="auto"/>
              <w:bottom w:val="single" w:sz="4" w:space="0" w:color="auto"/>
              <w:right w:val="single" w:sz="4" w:space="0" w:color="auto"/>
            </w:tcBorders>
          </w:tcPr>
          <w:p w14:paraId="33BCE769" w14:textId="29D7A5D0" w:rsidR="00712807" w:rsidRPr="00412FE5" w:rsidRDefault="00167B45"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3</w:t>
            </w:r>
          </w:p>
        </w:tc>
      </w:tr>
      <w:tr w:rsidR="00712807" w:rsidRPr="00412FE5" w14:paraId="25114CFC" w14:textId="77777777" w:rsidTr="000B5E59">
        <w:trPr>
          <w:trHeight w:val="287"/>
        </w:trPr>
        <w:tc>
          <w:tcPr>
            <w:tcW w:w="746" w:type="dxa"/>
            <w:tcBorders>
              <w:top w:val="single" w:sz="4" w:space="0" w:color="auto"/>
              <w:left w:val="single" w:sz="4" w:space="0" w:color="auto"/>
              <w:bottom w:val="single" w:sz="4" w:space="0" w:color="auto"/>
              <w:right w:val="single" w:sz="4" w:space="0" w:color="auto"/>
            </w:tcBorders>
            <w:hideMark/>
          </w:tcPr>
          <w:p w14:paraId="2A7ECB9C" w14:textId="6357ACFA"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2</w:t>
            </w:r>
          </w:p>
        </w:tc>
        <w:tc>
          <w:tcPr>
            <w:tcW w:w="4564" w:type="dxa"/>
            <w:tcBorders>
              <w:top w:val="single" w:sz="4" w:space="0" w:color="auto"/>
              <w:left w:val="single" w:sz="4" w:space="0" w:color="auto"/>
              <w:bottom w:val="single" w:sz="4" w:space="0" w:color="auto"/>
              <w:right w:val="single" w:sz="4" w:space="0" w:color="auto"/>
            </w:tcBorders>
            <w:hideMark/>
          </w:tcPr>
          <w:p w14:paraId="5D55D9AA" w14:textId="0746A5B6" w:rsidR="00712807" w:rsidRPr="00412FE5" w:rsidRDefault="00712807" w:rsidP="00712807">
            <w:pPr>
              <w:jc w:val="both"/>
              <w:rPr>
                <w:rFonts w:ascii="Times New Roman" w:hAnsi="Times New Roman"/>
                <w:color w:val="000000" w:themeColor="text1"/>
                <w:sz w:val="28"/>
                <w:szCs w:val="28"/>
              </w:rPr>
            </w:pPr>
            <w:r w:rsidRPr="00412FE5">
              <w:rPr>
                <w:rFonts w:ascii="Times New Roman" w:hAnsi="Times New Roman"/>
                <w:color w:val="000000" w:themeColor="text1"/>
                <w:sz w:val="28"/>
                <w:szCs w:val="28"/>
                <w:lang w:val="pt-BR"/>
              </w:rPr>
              <w:t xml:space="preserve">Tham luận: Tổng quan </w:t>
            </w:r>
            <w:r w:rsidRPr="00412FE5">
              <w:rPr>
                <w:rFonts w:ascii="Times New Roman" w:hAnsi="Times New Roman"/>
                <w:color w:val="000000" w:themeColor="text1"/>
                <w:spacing w:val="-6"/>
                <w:sz w:val="28"/>
                <w:szCs w:val="28"/>
                <w:lang w:val="pt-BR"/>
              </w:rPr>
              <w:t xml:space="preserve">về huy động vốn cho </w:t>
            </w:r>
            <w:r w:rsidRPr="00412FE5">
              <w:rPr>
                <w:rFonts w:ascii="Times New Roman" w:hAnsi="Times New Roman"/>
                <w:color w:val="000000" w:themeColor="text1"/>
                <w:sz w:val="28"/>
                <w:szCs w:val="28"/>
                <w:lang w:val="pt-BR"/>
              </w:rPr>
              <w:t>doanh nghiệp ở Việt Nam hiện nay</w:t>
            </w:r>
          </w:p>
        </w:tc>
        <w:tc>
          <w:tcPr>
            <w:tcW w:w="3618" w:type="dxa"/>
            <w:tcBorders>
              <w:top w:val="single" w:sz="4" w:space="0" w:color="auto"/>
              <w:left w:val="single" w:sz="4" w:space="0" w:color="auto"/>
              <w:bottom w:val="single" w:sz="4" w:space="0" w:color="auto"/>
              <w:right w:val="single" w:sz="4" w:space="0" w:color="auto"/>
            </w:tcBorders>
          </w:tcPr>
          <w:p w14:paraId="418C3F3A" w14:textId="3FF451F0" w:rsidR="00712807" w:rsidRPr="00412FE5" w:rsidRDefault="000B5E59" w:rsidP="00712807">
            <w:pPr>
              <w:jc w:val="both"/>
              <w:rPr>
                <w:rFonts w:ascii="Times New Roman" w:hAnsi="Times New Roman"/>
                <w:color w:val="000000" w:themeColor="text1"/>
                <w:sz w:val="28"/>
                <w:szCs w:val="28"/>
              </w:rPr>
            </w:pPr>
            <w:r w:rsidRPr="00412FE5">
              <w:rPr>
                <w:rFonts w:ascii="Times New Roman" w:hAnsi="Times New Roman"/>
                <w:color w:val="000000" w:themeColor="text1"/>
                <w:sz w:val="28"/>
                <w:szCs w:val="28"/>
              </w:rPr>
              <w:t>Luật sư Hoàng Thanh Quý -</w:t>
            </w:r>
            <w:r w:rsidRPr="00412FE5">
              <w:rPr>
                <w:rFonts w:ascii="Times New Roman" w:hAnsi="Times New Roman"/>
                <w:b/>
                <w:bCs/>
                <w:color w:val="000000" w:themeColor="text1"/>
                <w:sz w:val="28"/>
                <w:szCs w:val="28"/>
              </w:rPr>
              <w:t xml:space="preserve"> </w:t>
            </w:r>
            <w:r w:rsidRPr="00412FE5">
              <w:rPr>
                <w:rFonts w:ascii="Times New Roman" w:hAnsi="Times New Roman"/>
                <w:color w:val="000000" w:themeColor="text1"/>
                <w:sz w:val="28"/>
                <w:szCs w:val="28"/>
              </w:rPr>
              <w:t>Trung tâm Tư vấn Pháp luật Toàn Tâm</w:t>
            </w:r>
          </w:p>
        </w:tc>
        <w:tc>
          <w:tcPr>
            <w:tcW w:w="900" w:type="dxa"/>
            <w:tcBorders>
              <w:top w:val="single" w:sz="4" w:space="0" w:color="auto"/>
              <w:left w:val="single" w:sz="4" w:space="0" w:color="auto"/>
              <w:bottom w:val="single" w:sz="4" w:space="0" w:color="auto"/>
              <w:right w:val="single" w:sz="4" w:space="0" w:color="auto"/>
            </w:tcBorders>
            <w:hideMark/>
          </w:tcPr>
          <w:p w14:paraId="3C626033" w14:textId="27AFD302" w:rsidR="00712807" w:rsidRPr="00412FE5" w:rsidRDefault="00167B45"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7</w:t>
            </w:r>
          </w:p>
        </w:tc>
      </w:tr>
      <w:tr w:rsidR="00712807" w:rsidRPr="00412FE5" w14:paraId="40A06FD7" w14:textId="77777777" w:rsidTr="00161653">
        <w:tc>
          <w:tcPr>
            <w:tcW w:w="746" w:type="dxa"/>
            <w:tcBorders>
              <w:top w:val="single" w:sz="4" w:space="0" w:color="auto"/>
              <w:left w:val="single" w:sz="4" w:space="0" w:color="auto"/>
              <w:bottom w:val="single" w:sz="4" w:space="0" w:color="auto"/>
              <w:right w:val="single" w:sz="4" w:space="0" w:color="auto"/>
            </w:tcBorders>
            <w:hideMark/>
          </w:tcPr>
          <w:p w14:paraId="4B397B97"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3</w:t>
            </w:r>
          </w:p>
        </w:tc>
        <w:tc>
          <w:tcPr>
            <w:tcW w:w="4564" w:type="dxa"/>
            <w:tcBorders>
              <w:top w:val="single" w:sz="4" w:space="0" w:color="auto"/>
              <w:left w:val="single" w:sz="4" w:space="0" w:color="auto"/>
              <w:bottom w:val="single" w:sz="4" w:space="0" w:color="auto"/>
              <w:right w:val="single" w:sz="4" w:space="0" w:color="auto"/>
            </w:tcBorders>
            <w:hideMark/>
          </w:tcPr>
          <w:p w14:paraId="774736F4" w14:textId="39ED2DA1" w:rsidR="00712807" w:rsidRPr="00412FE5" w:rsidRDefault="00712807" w:rsidP="00712807">
            <w:pPr>
              <w:jc w:val="both"/>
              <w:rPr>
                <w:rFonts w:ascii="Times New Roman" w:hAnsi="Times New Roman"/>
                <w:color w:val="000000" w:themeColor="text1"/>
                <w:sz w:val="28"/>
                <w:szCs w:val="28"/>
                <w:lang w:val="pl-PL"/>
              </w:rPr>
            </w:pPr>
            <w:r w:rsidRPr="00412FE5">
              <w:rPr>
                <w:rFonts w:ascii="Times New Roman" w:hAnsi="Times New Roman"/>
                <w:color w:val="000000" w:themeColor="text1"/>
                <w:sz w:val="28"/>
                <w:szCs w:val="28"/>
                <w:lang w:val="pt-BR"/>
              </w:rPr>
              <w:t xml:space="preserve">Tham luận: Thực trạng huy động vốn </w:t>
            </w:r>
            <w:r w:rsidRPr="00412FE5">
              <w:rPr>
                <w:rFonts w:ascii="Times New Roman" w:hAnsi="Times New Roman"/>
                <w:color w:val="000000" w:themeColor="text1"/>
                <w:spacing w:val="-6"/>
                <w:sz w:val="28"/>
                <w:szCs w:val="28"/>
                <w:lang w:val="pt-BR"/>
              </w:rPr>
              <w:t xml:space="preserve">của </w:t>
            </w:r>
            <w:r w:rsidRPr="00412FE5">
              <w:rPr>
                <w:rFonts w:ascii="Times New Roman" w:hAnsi="Times New Roman"/>
                <w:color w:val="000000" w:themeColor="text1"/>
                <w:sz w:val="28"/>
                <w:szCs w:val="28"/>
                <w:lang w:val="pt-BR"/>
              </w:rPr>
              <w:t>doanh nghiệp hiện nay, bài học kinh nghiệm</w:t>
            </w:r>
          </w:p>
        </w:tc>
        <w:tc>
          <w:tcPr>
            <w:tcW w:w="3618" w:type="dxa"/>
            <w:tcBorders>
              <w:top w:val="single" w:sz="4" w:space="0" w:color="auto"/>
              <w:left w:val="single" w:sz="4" w:space="0" w:color="auto"/>
              <w:bottom w:val="single" w:sz="4" w:space="0" w:color="auto"/>
              <w:right w:val="single" w:sz="4" w:space="0" w:color="auto"/>
            </w:tcBorders>
          </w:tcPr>
          <w:p w14:paraId="02142C73" w14:textId="2D153E68" w:rsidR="00712807" w:rsidRPr="00412FE5" w:rsidRDefault="000B5E59" w:rsidP="000B5E59">
            <w:pPr>
              <w:shd w:val="clear" w:color="auto" w:fill="FFFFFF"/>
              <w:spacing w:after="120"/>
              <w:outlineLvl w:val="1"/>
              <w:rPr>
                <w:rFonts w:ascii="Times New Roman" w:hAnsi="Times New Roman"/>
                <w:bCs/>
                <w:color w:val="000000" w:themeColor="text1"/>
                <w:sz w:val="28"/>
                <w:szCs w:val="28"/>
              </w:rPr>
            </w:pPr>
            <w:bookmarkStart w:id="0" w:name="_Hlk136333464"/>
            <w:r w:rsidRPr="00412FE5">
              <w:rPr>
                <w:rFonts w:ascii="Times New Roman" w:eastAsia="Times New Roman" w:hAnsi="Times New Roman"/>
                <w:bCs/>
                <w:color w:val="000000" w:themeColor="text1"/>
                <w:sz w:val="28"/>
                <w:szCs w:val="28"/>
                <w:shd w:val="clear" w:color="auto" w:fill="FFFFFF"/>
              </w:rPr>
              <w:t xml:space="preserve">- Ông Nguyễn Văn Đạt- </w:t>
            </w:r>
            <w:r w:rsidRPr="00412FE5">
              <w:rPr>
                <w:rFonts w:ascii="Times New Roman" w:hAnsi="Times New Roman"/>
                <w:iCs/>
                <w:color w:val="000000" w:themeColor="text1"/>
                <w:sz w:val="28"/>
                <w:szCs w:val="28"/>
                <w:lang w:val="vi-VN"/>
              </w:rPr>
              <w:t>Viện Nghi</w:t>
            </w:r>
            <w:r w:rsidRPr="00412FE5">
              <w:rPr>
                <w:rFonts w:ascii="Times New Roman" w:hAnsi="Times New Roman"/>
                <w:iCs/>
                <w:color w:val="000000" w:themeColor="text1"/>
                <w:sz w:val="28"/>
                <w:szCs w:val="28"/>
              </w:rPr>
              <w:t>ên c</w:t>
            </w:r>
            <w:r w:rsidRPr="00412FE5">
              <w:rPr>
                <w:rFonts w:ascii="Times New Roman" w:hAnsi="Times New Roman"/>
                <w:iCs/>
                <w:color w:val="000000" w:themeColor="text1"/>
                <w:sz w:val="28"/>
                <w:szCs w:val="28"/>
                <w:lang w:val="vi-VN"/>
              </w:rPr>
              <w:t>ứu Thị trường – Truyền th</w:t>
            </w:r>
            <w:r w:rsidRPr="00412FE5">
              <w:rPr>
                <w:rFonts w:ascii="Times New Roman" w:hAnsi="Times New Roman"/>
                <w:iCs/>
                <w:color w:val="000000" w:themeColor="text1"/>
                <w:sz w:val="28"/>
                <w:szCs w:val="28"/>
              </w:rPr>
              <w:t>ông Qu</w:t>
            </w:r>
            <w:r w:rsidRPr="00412FE5">
              <w:rPr>
                <w:rFonts w:ascii="Times New Roman" w:hAnsi="Times New Roman"/>
                <w:iCs/>
                <w:color w:val="000000" w:themeColor="text1"/>
                <w:sz w:val="28"/>
                <w:szCs w:val="28"/>
                <w:lang w:val="vi-VN"/>
              </w:rPr>
              <w:t>ốc tế (IMRIC)</w:t>
            </w:r>
            <w:bookmarkEnd w:id="0"/>
          </w:p>
        </w:tc>
        <w:tc>
          <w:tcPr>
            <w:tcW w:w="900" w:type="dxa"/>
            <w:tcBorders>
              <w:top w:val="single" w:sz="4" w:space="0" w:color="auto"/>
              <w:left w:val="single" w:sz="4" w:space="0" w:color="auto"/>
              <w:bottom w:val="single" w:sz="4" w:space="0" w:color="auto"/>
              <w:right w:val="single" w:sz="4" w:space="0" w:color="auto"/>
            </w:tcBorders>
            <w:hideMark/>
          </w:tcPr>
          <w:p w14:paraId="5AF9EA5A" w14:textId="0727AE94" w:rsidR="00712807" w:rsidRPr="00412FE5" w:rsidRDefault="00D603FC"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20</w:t>
            </w:r>
          </w:p>
        </w:tc>
      </w:tr>
      <w:tr w:rsidR="00CA5DC3" w:rsidRPr="00412FE5" w14:paraId="21D73A26" w14:textId="77777777" w:rsidTr="00161653">
        <w:tc>
          <w:tcPr>
            <w:tcW w:w="746" w:type="dxa"/>
            <w:tcBorders>
              <w:top w:val="single" w:sz="4" w:space="0" w:color="auto"/>
              <w:left w:val="single" w:sz="4" w:space="0" w:color="auto"/>
              <w:bottom w:val="single" w:sz="4" w:space="0" w:color="auto"/>
              <w:right w:val="single" w:sz="4" w:space="0" w:color="auto"/>
            </w:tcBorders>
            <w:hideMark/>
          </w:tcPr>
          <w:p w14:paraId="65EF6039"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4</w:t>
            </w:r>
          </w:p>
        </w:tc>
        <w:tc>
          <w:tcPr>
            <w:tcW w:w="4564" w:type="dxa"/>
            <w:tcBorders>
              <w:top w:val="single" w:sz="4" w:space="0" w:color="auto"/>
              <w:left w:val="single" w:sz="4" w:space="0" w:color="auto"/>
              <w:bottom w:val="single" w:sz="4" w:space="0" w:color="auto"/>
              <w:right w:val="single" w:sz="4" w:space="0" w:color="auto"/>
            </w:tcBorders>
            <w:hideMark/>
          </w:tcPr>
          <w:p w14:paraId="2B4B51BC" w14:textId="1E0FA3F0" w:rsidR="00712807" w:rsidRPr="00412FE5" w:rsidRDefault="00712807" w:rsidP="00712807">
            <w:pPr>
              <w:jc w:val="both"/>
              <w:rPr>
                <w:rFonts w:ascii="Times New Roman" w:hAnsi="Times New Roman"/>
                <w:color w:val="000000" w:themeColor="text1"/>
                <w:sz w:val="28"/>
                <w:szCs w:val="28"/>
                <w:shd w:val="clear" w:color="auto" w:fill="FFFFFF"/>
              </w:rPr>
            </w:pPr>
            <w:r w:rsidRPr="00412FE5">
              <w:rPr>
                <w:rFonts w:ascii="Times New Roman" w:hAnsi="Times New Roman"/>
                <w:color w:val="000000" w:themeColor="text1"/>
                <w:sz w:val="28"/>
                <w:szCs w:val="28"/>
                <w:lang w:val="pt-BR"/>
              </w:rPr>
              <w:t xml:space="preserve">Tham luận: Giải pháp huy động vốn </w:t>
            </w:r>
            <w:r w:rsidRPr="00412FE5">
              <w:rPr>
                <w:rFonts w:ascii="Times New Roman" w:hAnsi="Times New Roman"/>
                <w:color w:val="000000" w:themeColor="text1"/>
                <w:spacing w:val="-6"/>
                <w:sz w:val="28"/>
                <w:szCs w:val="28"/>
                <w:lang w:val="pt-BR"/>
              </w:rPr>
              <w:t xml:space="preserve">cho </w:t>
            </w:r>
            <w:r w:rsidRPr="00412FE5">
              <w:rPr>
                <w:rFonts w:ascii="Times New Roman" w:hAnsi="Times New Roman"/>
                <w:color w:val="000000" w:themeColor="text1"/>
                <w:sz w:val="28"/>
                <w:szCs w:val="28"/>
                <w:lang w:val="pt-BR"/>
              </w:rPr>
              <w:t>doanh nghiệp trong bối cảnh phục hồi và phát triển</w:t>
            </w:r>
          </w:p>
        </w:tc>
        <w:tc>
          <w:tcPr>
            <w:tcW w:w="3618" w:type="dxa"/>
            <w:tcBorders>
              <w:top w:val="single" w:sz="4" w:space="0" w:color="auto"/>
              <w:left w:val="single" w:sz="4" w:space="0" w:color="auto"/>
              <w:bottom w:val="single" w:sz="4" w:space="0" w:color="auto"/>
              <w:right w:val="single" w:sz="4" w:space="0" w:color="auto"/>
            </w:tcBorders>
            <w:vAlign w:val="center"/>
          </w:tcPr>
          <w:p w14:paraId="500E1605" w14:textId="45AE25CA" w:rsidR="00712807" w:rsidRPr="00412FE5" w:rsidRDefault="00A84FCF" w:rsidP="00712807">
            <w:pPr>
              <w:jc w:val="both"/>
              <w:rPr>
                <w:rFonts w:ascii="Times New Roman" w:hAnsi="Times New Roman"/>
                <w:color w:val="000000" w:themeColor="text1"/>
                <w:sz w:val="28"/>
                <w:szCs w:val="28"/>
                <w:lang w:val="vi-VN"/>
              </w:rPr>
            </w:pPr>
            <w:r w:rsidRPr="00412FE5">
              <w:rPr>
                <w:rFonts w:ascii="Times New Roman" w:eastAsiaTheme="minorHAnsi" w:hAnsi="Times New Roman"/>
                <w:iCs/>
                <w:color w:val="000000" w:themeColor="text1"/>
                <w:sz w:val="28"/>
                <w:szCs w:val="28"/>
              </w:rPr>
              <w:t>Luật sư Hồ Minh Sơn</w:t>
            </w:r>
            <w:r w:rsidR="00712807" w:rsidRPr="00412FE5">
              <w:rPr>
                <w:rFonts w:ascii="Times New Roman" w:eastAsiaTheme="minorHAnsi" w:hAnsi="Times New Roman"/>
                <w:iCs/>
                <w:color w:val="000000" w:themeColor="text1"/>
                <w:sz w:val="28"/>
                <w:szCs w:val="28"/>
                <w:lang w:val="vi-VN"/>
              </w:rPr>
              <w:t xml:space="preserve"> – Viện trưởng Viện Nghi</w:t>
            </w:r>
            <w:r w:rsidR="00712807" w:rsidRPr="00412FE5">
              <w:rPr>
                <w:rFonts w:ascii="Times New Roman" w:eastAsiaTheme="minorHAnsi" w:hAnsi="Times New Roman"/>
                <w:iCs/>
                <w:color w:val="000000" w:themeColor="text1"/>
                <w:sz w:val="28"/>
                <w:szCs w:val="28"/>
              </w:rPr>
              <w:t>ên c</w:t>
            </w:r>
            <w:r w:rsidR="00712807" w:rsidRPr="00412FE5">
              <w:rPr>
                <w:rFonts w:ascii="Times New Roman" w:eastAsiaTheme="minorHAnsi" w:hAnsi="Times New Roman"/>
                <w:iCs/>
                <w:color w:val="000000" w:themeColor="text1"/>
                <w:sz w:val="28"/>
                <w:szCs w:val="28"/>
                <w:lang w:val="vi-VN"/>
              </w:rPr>
              <w:t>ứu Thị trường – Truyền th</w:t>
            </w:r>
            <w:r w:rsidR="00712807" w:rsidRPr="00412FE5">
              <w:rPr>
                <w:rFonts w:ascii="Times New Roman" w:eastAsiaTheme="minorHAnsi" w:hAnsi="Times New Roman"/>
                <w:iCs/>
                <w:color w:val="000000" w:themeColor="text1"/>
                <w:sz w:val="28"/>
                <w:szCs w:val="28"/>
              </w:rPr>
              <w:t>ông Qu</w:t>
            </w:r>
            <w:r w:rsidR="00712807" w:rsidRPr="00412FE5">
              <w:rPr>
                <w:rFonts w:ascii="Times New Roman" w:eastAsiaTheme="minorHAnsi" w:hAnsi="Times New Roman"/>
                <w:iCs/>
                <w:color w:val="000000" w:themeColor="text1"/>
                <w:sz w:val="28"/>
                <w:szCs w:val="28"/>
                <w:lang w:val="vi-VN"/>
              </w:rPr>
              <w:t>ốc tế (IMRIC)</w:t>
            </w:r>
          </w:p>
        </w:tc>
        <w:tc>
          <w:tcPr>
            <w:tcW w:w="900" w:type="dxa"/>
            <w:tcBorders>
              <w:top w:val="single" w:sz="4" w:space="0" w:color="auto"/>
              <w:left w:val="single" w:sz="4" w:space="0" w:color="auto"/>
              <w:bottom w:val="single" w:sz="4" w:space="0" w:color="auto"/>
              <w:right w:val="single" w:sz="4" w:space="0" w:color="auto"/>
            </w:tcBorders>
            <w:hideMark/>
          </w:tcPr>
          <w:p w14:paraId="476FA9F0" w14:textId="325D9E78" w:rsidR="00712807" w:rsidRPr="00412FE5" w:rsidRDefault="003C0E26"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24</w:t>
            </w:r>
          </w:p>
        </w:tc>
      </w:tr>
      <w:tr w:rsidR="00712807" w:rsidRPr="00412FE5" w14:paraId="4B035D36" w14:textId="77777777" w:rsidTr="00161653">
        <w:trPr>
          <w:trHeight w:val="1574"/>
        </w:trPr>
        <w:tc>
          <w:tcPr>
            <w:tcW w:w="746" w:type="dxa"/>
            <w:tcBorders>
              <w:top w:val="single" w:sz="4" w:space="0" w:color="auto"/>
              <w:left w:val="single" w:sz="4" w:space="0" w:color="auto"/>
              <w:bottom w:val="single" w:sz="4" w:space="0" w:color="auto"/>
              <w:right w:val="single" w:sz="4" w:space="0" w:color="auto"/>
            </w:tcBorders>
            <w:hideMark/>
          </w:tcPr>
          <w:p w14:paraId="58DE951A"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5</w:t>
            </w:r>
          </w:p>
        </w:tc>
        <w:tc>
          <w:tcPr>
            <w:tcW w:w="4564" w:type="dxa"/>
            <w:tcBorders>
              <w:top w:val="single" w:sz="4" w:space="0" w:color="auto"/>
              <w:left w:val="single" w:sz="4" w:space="0" w:color="auto"/>
              <w:bottom w:val="single" w:sz="4" w:space="0" w:color="auto"/>
              <w:right w:val="single" w:sz="4" w:space="0" w:color="auto"/>
            </w:tcBorders>
            <w:hideMark/>
          </w:tcPr>
          <w:p w14:paraId="6E0AE35B" w14:textId="7B5FBDE1" w:rsidR="00712807" w:rsidRPr="00412FE5" w:rsidRDefault="00712807" w:rsidP="00712807">
            <w:pPr>
              <w:jc w:val="both"/>
              <w:rPr>
                <w:rFonts w:ascii="Times New Roman" w:hAnsi="Times New Roman"/>
                <w:bCs/>
                <w:color w:val="000000" w:themeColor="text1"/>
                <w:spacing w:val="-2"/>
                <w:sz w:val="28"/>
                <w:szCs w:val="28"/>
                <w:lang w:val="nl-NL"/>
              </w:rPr>
            </w:pPr>
            <w:r w:rsidRPr="00412FE5">
              <w:rPr>
                <w:rFonts w:ascii="Times New Roman" w:hAnsi="Times New Roman"/>
                <w:color w:val="000000" w:themeColor="text1"/>
                <w:sz w:val="28"/>
                <w:szCs w:val="28"/>
                <w:lang w:val="pt-BR"/>
              </w:rPr>
              <w:t>Tham luận: Các quy định pháp luật về hình thức huy động vốn từ</w:t>
            </w:r>
            <w:r w:rsidRPr="00412FE5">
              <w:rPr>
                <w:rFonts w:ascii="Times New Roman" w:hAnsi="Times New Roman"/>
                <w:bCs/>
                <w:color w:val="000000" w:themeColor="text1"/>
                <w:sz w:val="28"/>
                <w:szCs w:val="28"/>
                <w:lang w:val="pt-BR"/>
              </w:rPr>
              <w:t xml:space="preserve"> vay các tổ chức tín dụng</w:t>
            </w:r>
            <w:r w:rsidRPr="00412FE5">
              <w:rPr>
                <w:rFonts w:ascii="Times New Roman" w:hAnsi="Times New Roman"/>
                <w:bCs/>
                <w:color w:val="000000" w:themeColor="text1"/>
                <w:kern w:val="36"/>
                <w:sz w:val="28"/>
                <w:szCs w:val="28"/>
                <w:lang w:val="pt-BR"/>
              </w:rPr>
              <w:t>. Một số rủi ro pháp lý cần lưu ý và giải pháp tối ưu cho doanh nghiệp</w:t>
            </w:r>
          </w:p>
        </w:tc>
        <w:tc>
          <w:tcPr>
            <w:tcW w:w="3618" w:type="dxa"/>
            <w:tcBorders>
              <w:top w:val="single" w:sz="4" w:space="0" w:color="auto"/>
              <w:left w:val="single" w:sz="4" w:space="0" w:color="auto"/>
              <w:bottom w:val="single" w:sz="4" w:space="0" w:color="auto"/>
              <w:right w:val="single" w:sz="4" w:space="0" w:color="auto"/>
            </w:tcBorders>
          </w:tcPr>
          <w:p w14:paraId="32C0FCE4" w14:textId="45B0254A" w:rsidR="00712807" w:rsidRPr="00412FE5" w:rsidRDefault="00DB77E5" w:rsidP="00712807">
            <w:pPr>
              <w:jc w:val="both"/>
              <w:rPr>
                <w:rFonts w:ascii="Times New Roman" w:hAnsi="Times New Roman"/>
                <w:color w:val="000000" w:themeColor="text1"/>
                <w:sz w:val="28"/>
                <w:szCs w:val="28"/>
                <w:lang w:val="nl-NL"/>
              </w:rPr>
            </w:pPr>
            <w:r w:rsidRPr="00412FE5">
              <w:rPr>
                <w:rFonts w:ascii="Times New Roman" w:hAnsi="Times New Roman"/>
                <w:color w:val="000000" w:themeColor="text1"/>
                <w:sz w:val="28"/>
                <w:szCs w:val="28"/>
              </w:rPr>
              <w:t>Luật gia Phạm Trắc Long</w:t>
            </w:r>
            <w:r w:rsidR="007468F0" w:rsidRPr="00412FE5">
              <w:rPr>
                <w:rFonts w:ascii="Times New Roman" w:hAnsi="Times New Roman"/>
                <w:color w:val="000000" w:themeColor="text1"/>
                <w:sz w:val="28"/>
                <w:szCs w:val="28"/>
              </w:rPr>
              <w:t xml:space="preserve"> </w:t>
            </w:r>
            <w:r w:rsidR="00712807" w:rsidRPr="00412FE5">
              <w:rPr>
                <w:rFonts w:ascii="Times New Roman" w:hAnsi="Times New Roman"/>
                <w:color w:val="000000" w:themeColor="text1"/>
                <w:sz w:val="28"/>
                <w:szCs w:val="28"/>
                <w:shd w:val="clear" w:color="auto" w:fill="FFFFFF"/>
              </w:rPr>
              <w:t xml:space="preserve">- </w:t>
            </w:r>
            <w:r w:rsidRPr="00412FE5">
              <w:rPr>
                <w:rFonts w:ascii="Times New Roman" w:eastAsiaTheme="minorHAnsi" w:hAnsi="Times New Roman"/>
                <w:iCs/>
                <w:color w:val="000000" w:themeColor="text1"/>
                <w:sz w:val="28"/>
                <w:szCs w:val="28"/>
                <w:lang w:val="vi-VN"/>
              </w:rPr>
              <w:t>Viện Nghi</w:t>
            </w:r>
            <w:r w:rsidRPr="00412FE5">
              <w:rPr>
                <w:rFonts w:ascii="Times New Roman" w:eastAsiaTheme="minorHAnsi" w:hAnsi="Times New Roman"/>
                <w:iCs/>
                <w:color w:val="000000" w:themeColor="text1"/>
                <w:sz w:val="28"/>
                <w:szCs w:val="28"/>
              </w:rPr>
              <w:t>ên c</w:t>
            </w:r>
            <w:r w:rsidRPr="00412FE5">
              <w:rPr>
                <w:rFonts w:ascii="Times New Roman" w:eastAsiaTheme="minorHAnsi" w:hAnsi="Times New Roman"/>
                <w:iCs/>
                <w:color w:val="000000" w:themeColor="text1"/>
                <w:sz w:val="28"/>
                <w:szCs w:val="28"/>
                <w:lang w:val="vi-VN"/>
              </w:rPr>
              <w:t>ứu Thị trường – Truyền th</w:t>
            </w:r>
            <w:r w:rsidRPr="00412FE5">
              <w:rPr>
                <w:rFonts w:ascii="Times New Roman" w:eastAsiaTheme="minorHAnsi" w:hAnsi="Times New Roman"/>
                <w:iCs/>
                <w:color w:val="000000" w:themeColor="text1"/>
                <w:sz w:val="28"/>
                <w:szCs w:val="28"/>
              </w:rPr>
              <w:t>ông Qu</w:t>
            </w:r>
            <w:r w:rsidRPr="00412FE5">
              <w:rPr>
                <w:rFonts w:ascii="Times New Roman" w:eastAsiaTheme="minorHAnsi" w:hAnsi="Times New Roman"/>
                <w:iCs/>
                <w:color w:val="000000" w:themeColor="text1"/>
                <w:sz w:val="28"/>
                <w:szCs w:val="28"/>
                <w:lang w:val="vi-VN"/>
              </w:rPr>
              <w:t>ốc tế (IMRIC)</w:t>
            </w:r>
          </w:p>
        </w:tc>
        <w:tc>
          <w:tcPr>
            <w:tcW w:w="900" w:type="dxa"/>
            <w:tcBorders>
              <w:top w:val="single" w:sz="4" w:space="0" w:color="auto"/>
              <w:left w:val="single" w:sz="4" w:space="0" w:color="auto"/>
              <w:bottom w:val="single" w:sz="4" w:space="0" w:color="auto"/>
              <w:right w:val="single" w:sz="4" w:space="0" w:color="auto"/>
            </w:tcBorders>
            <w:hideMark/>
          </w:tcPr>
          <w:p w14:paraId="30B280C9" w14:textId="555BD931" w:rsidR="00712807" w:rsidRPr="00412FE5" w:rsidRDefault="00BA3B11"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29</w:t>
            </w:r>
          </w:p>
        </w:tc>
      </w:tr>
      <w:tr w:rsidR="008014F7" w:rsidRPr="00412FE5" w14:paraId="0275F834" w14:textId="77777777" w:rsidTr="00161653">
        <w:trPr>
          <w:trHeight w:val="728"/>
        </w:trPr>
        <w:tc>
          <w:tcPr>
            <w:tcW w:w="746" w:type="dxa"/>
            <w:tcBorders>
              <w:top w:val="single" w:sz="4" w:space="0" w:color="auto"/>
              <w:left w:val="single" w:sz="4" w:space="0" w:color="auto"/>
              <w:bottom w:val="single" w:sz="4" w:space="0" w:color="auto"/>
              <w:right w:val="single" w:sz="4" w:space="0" w:color="auto"/>
            </w:tcBorders>
            <w:hideMark/>
          </w:tcPr>
          <w:p w14:paraId="5B1BB150"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6</w:t>
            </w:r>
          </w:p>
        </w:tc>
        <w:tc>
          <w:tcPr>
            <w:tcW w:w="4564" w:type="dxa"/>
            <w:tcBorders>
              <w:top w:val="single" w:sz="4" w:space="0" w:color="auto"/>
              <w:left w:val="single" w:sz="4" w:space="0" w:color="auto"/>
              <w:bottom w:val="single" w:sz="4" w:space="0" w:color="auto"/>
              <w:right w:val="single" w:sz="4" w:space="0" w:color="auto"/>
            </w:tcBorders>
            <w:hideMark/>
          </w:tcPr>
          <w:p w14:paraId="506E3BF4" w14:textId="77FF86C7" w:rsidR="00712807" w:rsidRPr="00412FE5" w:rsidRDefault="00712807" w:rsidP="00712807">
            <w:pPr>
              <w:jc w:val="both"/>
              <w:rPr>
                <w:rFonts w:ascii="Times New Roman" w:hAnsi="Times New Roman"/>
                <w:bCs/>
                <w:color w:val="000000" w:themeColor="text1"/>
                <w:spacing w:val="-2"/>
                <w:sz w:val="28"/>
                <w:szCs w:val="28"/>
                <w:lang w:val="nl-NL"/>
              </w:rPr>
            </w:pPr>
            <w:r w:rsidRPr="00412FE5">
              <w:rPr>
                <w:rFonts w:ascii="Times New Roman" w:hAnsi="Times New Roman"/>
                <w:color w:val="000000" w:themeColor="text1"/>
                <w:sz w:val="28"/>
                <w:szCs w:val="28"/>
                <w:lang w:val="pt-BR"/>
              </w:rPr>
              <w:t>Tham luận: Các quy định pháp luật về hình thức huy động vốn từ</w:t>
            </w:r>
            <w:r w:rsidRPr="00412FE5">
              <w:rPr>
                <w:rFonts w:ascii="Times New Roman" w:hAnsi="Times New Roman"/>
                <w:bCs/>
                <w:color w:val="000000" w:themeColor="text1"/>
                <w:sz w:val="28"/>
                <w:szCs w:val="28"/>
                <w:lang w:val="pt-BR"/>
              </w:rPr>
              <w:t xml:space="preserve"> vay quỹ đầu tư</w:t>
            </w:r>
            <w:r w:rsidRPr="00412FE5">
              <w:rPr>
                <w:rFonts w:ascii="Times New Roman" w:hAnsi="Times New Roman"/>
                <w:bCs/>
                <w:color w:val="000000" w:themeColor="text1"/>
                <w:kern w:val="36"/>
                <w:sz w:val="28"/>
                <w:szCs w:val="28"/>
                <w:lang w:val="pt-BR"/>
              </w:rPr>
              <w:t>. Một số rủi ro pháp lý cần lưu ý và giải pháp tối ưu cho doanh nghiệp</w:t>
            </w:r>
          </w:p>
        </w:tc>
        <w:tc>
          <w:tcPr>
            <w:tcW w:w="3618" w:type="dxa"/>
            <w:tcBorders>
              <w:top w:val="single" w:sz="4" w:space="0" w:color="auto"/>
              <w:left w:val="single" w:sz="4" w:space="0" w:color="auto"/>
              <w:bottom w:val="single" w:sz="4" w:space="0" w:color="auto"/>
              <w:right w:val="single" w:sz="4" w:space="0" w:color="auto"/>
            </w:tcBorders>
            <w:shd w:val="clear" w:color="auto" w:fill="auto"/>
          </w:tcPr>
          <w:p w14:paraId="2FFEDD14" w14:textId="5A317E9C" w:rsidR="00712807" w:rsidRPr="00412FE5" w:rsidRDefault="007468F0" w:rsidP="00712807">
            <w:pPr>
              <w:spacing w:before="100" w:beforeAutospacing="1" w:after="100" w:afterAutospacing="1"/>
              <w:outlineLvl w:val="2"/>
              <w:rPr>
                <w:rFonts w:ascii="Times New Roman" w:eastAsia="Times New Roman" w:hAnsi="Times New Roman"/>
                <w:bCs/>
                <w:color w:val="000000" w:themeColor="text1"/>
                <w:sz w:val="28"/>
                <w:szCs w:val="28"/>
              </w:rPr>
            </w:pPr>
            <w:bookmarkStart w:id="1" w:name="_Hlk136333425"/>
            <w:r w:rsidRPr="00412FE5">
              <w:rPr>
                <w:rFonts w:ascii="Times New Roman" w:hAnsi="Times New Roman"/>
                <w:bCs/>
                <w:color w:val="000000" w:themeColor="text1"/>
                <w:sz w:val="28"/>
                <w:szCs w:val="28"/>
              </w:rPr>
              <w:t xml:space="preserve">Ông Hồ Vĩnh Chung </w:t>
            </w:r>
            <w:r w:rsidR="00C226E1" w:rsidRPr="00412FE5">
              <w:rPr>
                <w:rFonts w:ascii="Times New Roman" w:hAnsi="Times New Roman"/>
                <w:bCs/>
                <w:color w:val="000000" w:themeColor="text1"/>
                <w:sz w:val="28"/>
                <w:szCs w:val="28"/>
              </w:rPr>
              <w:t xml:space="preserve">- </w:t>
            </w:r>
            <w:r w:rsidRPr="00412FE5">
              <w:rPr>
                <w:rFonts w:ascii="Times New Roman" w:eastAsiaTheme="minorHAnsi" w:hAnsi="Times New Roman"/>
                <w:iCs/>
                <w:color w:val="000000" w:themeColor="text1"/>
                <w:sz w:val="28"/>
                <w:szCs w:val="28"/>
                <w:lang w:val="vi-VN"/>
              </w:rPr>
              <w:t>Viện Nghi</w:t>
            </w:r>
            <w:r w:rsidRPr="00412FE5">
              <w:rPr>
                <w:rFonts w:ascii="Times New Roman" w:eastAsiaTheme="minorHAnsi" w:hAnsi="Times New Roman"/>
                <w:iCs/>
                <w:color w:val="000000" w:themeColor="text1"/>
                <w:sz w:val="28"/>
                <w:szCs w:val="28"/>
              </w:rPr>
              <w:t>ên c</w:t>
            </w:r>
            <w:r w:rsidRPr="00412FE5">
              <w:rPr>
                <w:rFonts w:ascii="Times New Roman" w:eastAsiaTheme="minorHAnsi" w:hAnsi="Times New Roman"/>
                <w:iCs/>
                <w:color w:val="000000" w:themeColor="text1"/>
                <w:sz w:val="28"/>
                <w:szCs w:val="28"/>
                <w:lang w:val="vi-VN"/>
              </w:rPr>
              <w:t>ứu Thị trường – Truyền th</w:t>
            </w:r>
            <w:r w:rsidRPr="00412FE5">
              <w:rPr>
                <w:rFonts w:ascii="Times New Roman" w:eastAsiaTheme="minorHAnsi" w:hAnsi="Times New Roman"/>
                <w:iCs/>
                <w:color w:val="000000" w:themeColor="text1"/>
                <w:sz w:val="28"/>
                <w:szCs w:val="28"/>
              </w:rPr>
              <w:t>ông Qu</w:t>
            </w:r>
            <w:r w:rsidRPr="00412FE5">
              <w:rPr>
                <w:rFonts w:ascii="Times New Roman" w:eastAsiaTheme="minorHAnsi" w:hAnsi="Times New Roman"/>
                <w:iCs/>
                <w:color w:val="000000" w:themeColor="text1"/>
                <w:sz w:val="28"/>
                <w:szCs w:val="28"/>
                <w:lang w:val="vi-VN"/>
              </w:rPr>
              <w:t>ốc tế (IMRIC)</w:t>
            </w:r>
            <w:bookmarkEnd w:id="1"/>
          </w:p>
        </w:tc>
        <w:tc>
          <w:tcPr>
            <w:tcW w:w="900" w:type="dxa"/>
            <w:tcBorders>
              <w:top w:val="single" w:sz="4" w:space="0" w:color="auto"/>
              <w:left w:val="single" w:sz="4" w:space="0" w:color="auto"/>
              <w:bottom w:val="single" w:sz="4" w:space="0" w:color="auto"/>
              <w:right w:val="single" w:sz="4" w:space="0" w:color="auto"/>
            </w:tcBorders>
          </w:tcPr>
          <w:p w14:paraId="5F740F25" w14:textId="7BE060FB" w:rsidR="00712807" w:rsidRPr="00412FE5" w:rsidRDefault="009D2B1D"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3</w:t>
            </w:r>
            <w:r w:rsidR="00F94578" w:rsidRPr="00412FE5">
              <w:rPr>
                <w:rFonts w:ascii="Times New Roman" w:hAnsi="Times New Roman"/>
                <w:color w:val="000000" w:themeColor="text1"/>
                <w:sz w:val="28"/>
                <w:szCs w:val="28"/>
              </w:rPr>
              <w:t>8</w:t>
            </w:r>
          </w:p>
        </w:tc>
      </w:tr>
      <w:tr w:rsidR="008014F7" w:rsidRPr="00412FE5" w14:paraId="29F2299D" w14:textId="77777777" w:rsidTr="00161653">
        <w:tc>
          <w:tcPr>
            <w:tcW w:w="746" w:type="dxa"/>
            <w:tcBorders>
              <w:top w:val="single" w:sz="4" w:space="0" w:color="auto"/>
              <w:left w:val="single" w:sz="4" w:space="0" w:color="auto"/>
              <w:bottom w:val="single" w:sz="4" w:space="0" w:color="auto"/>
              <w:right w:val="single" w:sz="4" w:space="0" w:color="auto"/>
            </w:tcBorders>
            <w:hideMark/>
          </w:tcPr>
          <w:p w14:paraId="02BF9CBD"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7</w:t>
            </w:r>
          </w:p>
        </w:tc>
        <w:tc>
          <w:tcPr>
            <w:tcW w:w="4564" w:type="dxa"/>
            <w:tcBorders>
              <w:top w:val="single" w:sz="4" w:space="0" w:color="auto"/>
              <w:left w:val="single" w:sz="4" w:space="0" w:color="auto"/>
              <w:bottom w:val="single" w:sz="4" w:space="0" w:color="auto"/>
              <w:right w:val="single" w:sz="4" w:space="0" w:color="auto"/>
            </w:tcBorders>
            <w:hideMark/>
          </w:tcPr>
          <w:p w14:paraId="0BECBAD5" w14:textId="2B3A878A" w:rsidR="00712807" w:rsidRPr="00412FE5" w:rsidRDefault="00712807" w:rsidP="00712807">
            <w:pPr>
              <w:jc w:val="both"/>
              <w:rPr>
                <w:rFonts w:ascii="Times New Roman" w:hAnsi="Times New Roman"/>
                <w:color w:val="000000" w:themeColor="text1"/>
                <w:sz w:val="28"/>
                <w:szCs w:val="28"/>
              </w:rPr>
            </w:pPr>
            <w:r w:rsidRPr="00412FE5">
              <w:rPr>
                <w:rFonts w:ascii="Times New Roman" w:hAnsi="Times New Roman"/>
                <w:color w:val="000000" w:themeColor="text1"/>
                <w:sz w:val="28"/>
                <w:szCs w:val="28"/>
                <w:lang w:val="pt-BR"/>
              </w:rPr>
              <w:t xml:space="preserve">Tham luận: Các quy định pháp luật về </w:t>
            </w:r>
            <w:r w:rsidRPr="00412FE5">
              <w:rPr>
                <w:rFonts w:ascii="Times New Roman" w:hAnsi="Times New Roman"/>
                <w:bCs/>
                <w:color w:val="000000" w:themeColor="text1"/>
                <w:sz w:val="28"/>
                <w:szCs w:val="28"/>
                <w:bdr w:val="none" w:sz="0" w:space="0" w:color="auto" w:frame="1"/>
                <w:lang w:val="pt-BR"/>
              </w:rPr>
              <w:t>huy động vốn điều lệ</w:t>
            </w:r>
            <w:r w:rsidRPr="00412FE5">
              <w:rPr>
                <w:rFonts w:ascii="Times New Roman" w:hAnsi="Times New Roman"/>
                <w:bCs/>
                <w:color w:val="000000" w:themeColor="text1"/>
                <w:kern w:val="36"/>
                <w:sz w:val="28"/>
                <w:szCs w:val="28"/>
                <w:lang w:val="pt-BR"/>
              </w:rPr>
              <w:t>. Một số rủi ro pháp lý cần lưu ý và giải pháp tối ưu cho doanh nghiệp</w:t>
            </w:r>
          </w:p>
        </w:tc>
        <w:tc>
          <w:tcPr>
            <w:tcW w:w="3618" w:type="dxa"/>
            <w:tcBorders>
              <w:top w:val="single" w:sz="4" w:space="0" w:color="auto"/>
              <w:left w:val="single" w:sz="4" w:space="0" w:color="auto"/>
              <w:bottom w:val="single" w:sz="4" w:space="0" w:color="auto"/>
              <w:right w:val="single" w:sz="4" w:space="0" w:color="auto"/>
            </w:tcBorders>
          </w:tcPr>
          <w:p w14:paraId="13C84263" w14:textId="5F34BEE5" w:rsidR="00712807" w:rsidRPr="00412FE5" w:rsidRDefault="00712807" w:rsidP="00DB77E5">
            <w:pPr>
              <w:shd w:val="clear" w:color="auto" w:fill="FFFFFF"/>
              <w:spacing w:after="120"/>
              <w:outlineLvl w:val="1"/>
              <w:rPr>
                <w:rFonts w:ascii="Times New Roman" w:hAnsi="Times New Roman"/>
                <w:color w:val="000000" w:themeColor="text1"/>
                <w:sz w:val="28"/>
                <w:szCs w:val="28"/>
              </w:rPr>
            </w:pPr>
            <w:r w:rsidRPr="00412FE5">
              <w:rPr>
                <w:rFonts w:ascii="Times New Roman" w:hAnsi="Times New Roman"/>
                <w:bCs/>
                <w:color w:val="000000" w:themeColor="text1"/>
                <w:sz w:val="28"/>
                <w:szCs w:val="28"/>
              </w:rPr>
              <w:t>Luật sư</w:t>
            </w:r>
            <w:r w:rsidR="00DB77E5" w:rsidRPr="00412FE5">
              <w:rPr>
                <w:rFonts w:ascii="Times New Roman" w:hAnsi="Times New Roman"/>
                <w:bCs/>
                <w:color w:val="000000" w:themeColor="text1"/>
                <w:sz w:val="28"/>
                <w:szCs w:val="28"/>
              </w:rPr>
              <w:t xml:space="preserve"> Phan Đức Hiếu - PGĐ</w:t>
            </w:r>
            <w:r w:rsidRPr="00412FE5">
              <w:rPr>
                <w:rFonts w:ascii="Times New Roman" w:hAnsi="Times New Roman"/>
                <w:bCs/>
                <w:color w:val="000000" w:themeColor="text1"/>
                <w:sz w:val="28"/>
                <w:szCs w:val="28"/>
              </w:rPr>
              <w:t xml:space="preserve"> </w:t>
            </w:r>
            <w:r w:rsidR="00DB77E5" w:rsidRPr="00412FE5">
              <w:rPr>
                <w:rFonts w:ascii="Times New Roman" w:hAnsi="Times New Roman"/>
                <w:color w:val="000000" w:themeColor="text1"/>
                <w:sz w:val="28"/>
                <w:szCs w:val="28"/>
              </w:rPr>
              <w:t>Trung tâm Tư vấn Pháp luật Toàn Tâm</w:t>
            </w:r>
            <w:r w:rsidRPr="00412FE5">
              <w:rPr>
                <w:rFonts w:ascii="Times New Roman" w:hAnsi="Times New Roman"/>
                <w:color w:val="000000" w:themeColor="text1"/>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tcPr>
          <w:p w14:paraId="04A786FC" w14:textId="647922B1" w:rsidR="00712807" w:rsidRPr="00412FE5" w:rsidRDefault="00F94578"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50</w:t>
            </w:r>
          </w:p>
        </w:tc>
      </w:tr>
      <w:tr w:rsidR="000B5E59" w:rsidRPr="00412FE5" w14:paraId="37BA4973" w14:textId="77777777" w:rsidTr="00161653">
        <w:tc>
          <w:tcPr>
            <w:tcW w:w="746" w:type="dxa"/>
            <w:tcBorders>
              <w:top w:val="single" w:sz="4" w:space="0" w:color="auto"/>
              <w:left w:val="single" w:sz="4" w:space="0" w:color="auto"/>
              <w:bottom w:val="single" w:sz="4" w:space="0" w:color="auto"/>
              <w:right w:val="single" w:sz="4" w:space="0" w:color="auto"/>
            </w:tcBorders>
            <w:hideMark/>
          </w:tcPr>
          <w:p w14:paraId="4A3338EE" w14:textId="77777777" w:rsidR="000B5E59" w:rsidRPr="00412FE5" w:rsidRDefault="000B5E59" w:rsidP="000B5E59">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8</w:t>
            </w:r>
          </w:p>
        </w:tc>
        <w:tc>
          <w:tcPr>
            <w:tcW w:w="4564" w:type="dxa"/>
            <w:tcBorders>
              <w:top w:val="single" w:sz="4" w:space="0" w:color="auto"/>
              <w:left w:val="single" w:sz="4" w:space="0" w:color="auto"/>
              <w:bottom w:val="single" w:sz="4" w:space="0" w:color="auto"/>
              <w:right w:val="single" w:sz="4" w:space="0" w:color="auto"/>
            </w:tcBorders>
            <w:hideMark/>
          </w:tcPr>
          <w:p w14:paraId="2A1BE25F" w14:textId="4DE9E492" w:rsidR="000B5E59" w:rsidRPr="00412FE5" w:rsidRDefault="000B5E59" w:rsidP="000B5E59">
            <w:pPr>
              <w:jc w:val="both"/>
              <w:rPr>
                <w:rFonts w:ascii="Times New Roman" w:hAnsi="Times New Roman"/>
                <w:bCs/>
                <w:color w:val="000000" w:themeColor="text1"/>
                <w:spacing w:val="-2"/>
                <w:sz w:val="28"/>
                <w:szCs w:val="28"/>
                <w:lang w:val="nl-NL"/>
              </w:rPr>
            </w:pPr>
            <w:r w:rsidRPr="00412FE5">
              <w:rPr>
                <w:rFonts w:ascii="Times New Roman" w:hAnsi="Times New Roman"/>
                <w:color w:val="000000" w:themeColor="text1"/>
                <w:sz w:val="28"/>
                <w:szCs w:val="28"/>
                <w:lang w:val="pt-BR"/>
              </w:rPr>
              <w:t xml:space="preserve">Tham luận: Các quy định pháp luật về </w:t>
            </w:r>
            <w:r w:rsidRPr="00412FE5">
              <w:rPr>
                <w:rFonts w:ascii="Times New Roman" w:hAnsi="Times New Roman"/>
                <w:bCs/>
                <w:color w:val="000000" w:themeColor="text1"/>
                <w:sz w:val="28"/>
                <w:szCs w:val="28"/>
                <w:bdr w:val="none" w:sz="0" w:space="0" w:color="auto" w:frame="1"/>
                <w:lang w:val="pt-BR"/>
              </w:rPr>
              <w:t xml:space="preserve">huy động vốn từ </w:t>
            </w:r>
            <w:r w:rsidRPr="00412FE5">
              <w:rPr>
                <w:rFonts w:ascii="Times New Roman" w:hAnsi="Times New Roman"/>
                <w:bCs/>
                <w:color w:val="000000" w:themeColor="text1"/>
                <w:sz w:val="28"/>
                <w:szCs w:val="28"/>
                <w:lang w:val="pt-BR"/>
              </w:rPr>
              <w:t>phát hành trái phiếu</w:t>
            </w:r>
            <w:r w:rsidRPr="00412FE5">
              <w:rPr>
                <w:rFonts w:ascii="Times New Roman" w:hAnsi="Times New Roman"/>
                <w:bCs/>
                <w:color w:val="000000" w:themeColor="text1"/>
                <w:kern w:val="36"/>
                <w:sz w:val="28"/>
                <w:szCs w:val="28"/>
                <w:lang w:val="pt-BR"/>
              </w:rPr>
              <w:t>. Một số rủi ro pháp lý cần lưu ý và giải pháp tối ưu cho doanh nghiệp</w:t>
            </w:r>
          </w:p>
        </w:tc>
        <w:tc>
          <w:tcPr>
            <w:tcW w:w="3618" w:type="dxa"/>
            <w:tcBorders>
              <w:top w:val="single" w:sz="4" w:space="0" w:color="auto"/>
              <w:left w:val="single" w:sz="4" w:space="0" w:color="auto"/>
              <w:bottom w:val="single" w:sz="4" w:space="0" w:color="auto"/>
              <w:right w:val="single" w:sz="4" w:space="0" w:color="auto"/>
            </w:tcBorders>
          </w:tcPr>
          <w:p w14:paraId="3A13DF7A" w14:textId="2CC27557" w:rsidR="000B5E59" w:rsidRPr="00412FE5" w:rsidRDefault="000B5E59" w:rsidP="000B5E59">
            <w:pPr>
              <w:jc w:val="both"/>
              <w:rPr>
                <w:rFonts w:ascii="Times New Roman" w:hAnsi="Times New Roman"/>
                <w:color w:val="000000" w:themeColor="text1"/>
                <w:sz w:val="28"/>
                <w:szCs w:val="28"/>
                <w:lang w:val="vi-VN"/>
              </w:rPr>
            </w:pPr>
            <w:r w:rsidRPr="00412FE5">
              <w:rPr>
                <w:rFonts w:ascii="Times New Roman" w:hAnsi="Times New Roman"/>
                <w:color w:val="000000" w:themeColor="text1"/>
                <w:sz w:val="28"/>
                <w:szCs w:val="28"/>
              </w:rPr>
              <w:t xml:space="preserve">Bà Trần Thị Hằng Nga -  Viện Khoa học Chính sách và Pháp luật </w:t>
            </w:r>
          </w:p>
        </w:tc>
        <w:tc>
          <w:tcPr>
            <w:tcW w:w="900" w:type="dxa"/>
            <w:tcBorders>
              <w:top w:val="single" w:sz="4" w:space="0" w:color="auto"/>
              <w:left w:val="single" w:sz="4" w:space="0" w:color="auto"/>
              <w:bottom w:val="single" w:sz="4" w:space="0" w:color="auto"/>
              <w:right w:val="single" w:sz="4" w:space="0" w:color="auto"/>
            </w:tcBorders>
          </w:tcPr>
          <w:p w14:paraId="27711188" w14:textId="031D22FE" w:rsidR="000B5E59" w:rsidRPr="00412FE5" w:rsidRDefault="000B5E59" w:rsidP="000B5E59">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64</w:t>
            </w:r>
          </w:p>
        </w:tc>
      </w:tr>
      <w:tr w:rsidR="000B5E59" w:rsidRPr="00412FE5" w14:paraId="735D6521" w14:textId="77777777" w:rsidTr="00161653">
        <w:tc>
          <w:tcPr>
            <w:tcW w:w="746" w:type="dxa"/>
            <w:tcBorders>
              <w:top w:val="single" w:sz="4" w:space="0" w:color="auto"/>
              <w:left w:val="single" w:sz="4" w:space="0" w:color="auto"/>
              <w:bottom w:val="single" w:sz="4" w:space="0" w:color="auto"/>
              <w:right w:val="single" w:sz="4" w:space="0" w:color="auto"/>
            </w:tcBorders>
            <w:hideMark/>
          </w:tcPr>
          <w:p w14:paraId="00A09FB7" w14:textId="77777777" w:rsidR="000B5E59" w:rsidRPr="00412FE5" w:rsidRDefault="000B5E59" w:rsidP="000B5E59">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lastRenderedPageBreak/>
              <w:t>9</w:t>
            </w:r>
          </w:p>
        </w:tc>
        <w:tc>
          <w:tcPr>
            <w:tcW w:w="4564" w:type="dxa"/>
            <w:tcBorders>
              <w:top w:val="single" w:sz="4" w:space="0" w:color="auto"/>
              <w:left w:val="single" w:sz="4" w:space="0" w:color="auto"/>
              <w:bottom w:val="single" w:sz="4" w:space="0" w:color="auto"/>
              <w:right w:val="single" w:sz="4" w:space="0" w:color="auto"/>
            </w:tcBorders>
            <w:hideMark/>
          </w:tcPr>
          <w:p w14:paraId="2D1BE847" w14:textId="160F4C04" w:rsidR="000B5E59" w:rsidRPr="00412FE5" w:rsidRDefault="000B5E59" w:rsidP="000B5E59">
            <w:pPr>
              <w:jc w:val="both"/>
              <w:rPr>
                <w:rFonts w:ascii="Times New Roman" w:hAnsi="Times New Roman"/>
                <w:color w:val="000000" w:themeColor="text1"/>
                <w:sz w:val="28"/>
                <w:szCs w:val="28"/>
              </w:rPr>
            </w:pPr>
            <w:r w:rsidRPr="00412FE5">
              <w:rPr>
                <w:rFonts w:ascii="Times New Roman" w:hAnsi="Times New Roman"/>
                <w:color w:val="000000" w:themeColor="text1"/>
                <w:sz w:val="28"/>
                <w:szCs w:val="28"/>
                <w:lang w:val="pt-BR"/>
              </w:rPr>
              <w:t xml:space="preserve">Tham luận: Các quy định pháp luật về </w:t>
            </w:r>
            <w:r w:rsidRPr="00412FE5">
              <w:rPr>
                <w:rFonts w:ascii="Times New Roman" w:hAnsi="Times New Roman"/>
                <w:bCs/>
                <w:color w:val="000000" w:themeColor="text1"/>
                <w:sz w:val="28"/>
                <w:szCs w:val="28"/>
                <w:bdr w:val="none" w:sz="0" w:space="0" w:color="auto" w:frame="1"/>
                <w:lang w:val="pt-BR"/>
              </w:rPr>
              <w:t xml:space="preserve">huy động vốn từ </w:t>
            </w:r>
            <w:r w:rsidRPr="00412FE5">
              <w:rPr>
                <w:rFonts w:ascii="Times New Roman" w:hAnsi="Times New Roman"/>
                <w:bCs/>
                <w:color w:val="000000" w:themeColor="text1"/>
                <w:sz w:val="28"/>
                <w:szCs w:val="28"/>
                <w:lang w:val="pt-BR"/>
              </w:rPr>
              <w:t>phát hành cổ phiếu, niêm yết trên thị trường chứng khoán</w:t>
            </w:r>
            <w:r w:rsidRPr="00412FE5">
              <w:rPr>
                <w:rFonts w:ascii="Times New Roman" w:hAnsi="Times New Roman"/>
                <w:bCs/>
                <w:color w:val="000000" w:themeColor="text1"/>
                <w:kern w:val="36"/>
                <w:sz w:val="28"/>
                <w:szCs w:val="28"/>
                <w:lang w:val="pt-BR"/>
              </w:rPr>
              <w:t>. Một số rủi ro pháp lý cần lưu ý và giải pháp tối ưu cho doanh nghiệp</w:t>
            </w:r>
          </w:p>
        </w:tc>
        <w:tc>
          <w:tcPr>
            <w:tcW w:w="3618" w:type="dxa"/>
            <w:tcBorders>
              <w:top w:val="single" w:sz="4" w:space="0" w:color="auto"/>
              <w:left w:val="single" w:sz="4" w:space="0" w:color="auto"/>
              <w:bottom w:val="single" w:sz="4" w:space="0" w:color="auto"/>
              <w:right w:val="single" w:sz="4" w:space="0" w:color="auto"/>
            </w:tcBorders>
          </w:tcPr>
          <w:p w14:paraId="0A9B09FB" w14:textId="68AB4F6E" w:rsidR="000B5E59" w:rsidRPr="00412FE5" w:rsidRDefault="007468F0" w:rsidP="000B5E59">
            <w:pPr>
              <w:shd w:val="clear" w:color="auto" w:fill="FFFFFF"/>
              <w:spacing w:before="100" w:beforeAutospacing="1" w:after="100" w:afterAutospacing="1"/>
              <w:outlineLvl w:val="0"/>
              <w:rPr>
                <w:rFonts w:ascii="Times New Roman" w:eastAsia="Times New Roman" w:hAnsi="Times New Roman"/>
                <w:color w:val="000000" w:themeColor="text1"/>
                <w:kern w:val="36"/>
                <w:sz w:val="28"/>
                <w:szCs w:val="28"/>
              </w:rPr>
            </w:pPr>
            <w:bookmarkStart w:id="2" w:name="_Hlk120014911"/>
            <w:r w:rsidRPr="00412FE5">
              <w:rPr>
                <w:rFonts w:ascii="Times New Roman" w:hAnsi="Times New Roman"/>
                <w:bCs/>
                <w:color w:val="000000" w:themeColor="text1"/>
                <w:sz w:val="28"/>
                <w:szCs w:val="28"/>
                <w:lang w:val="nl-NL"/>
              </w:rPr>
              <w:t>Ông Phan Hồng Đức</w:t>
            </w:r>
            <w:r w:rsidR="000B5E59" w:rsidRPr="00412FE5">
              <w:rPr>
                <w:rFonts w:ascii="Times New Roman" w:hAnsi="Times New Roman"/>
                <w:bCs/>
                <w:color w:val="000000" w:themeColor="text1"/>
                <w:sz w:val="28"/>
                <w:szCs w:val="28"/>
                <w:lang w:val="nl-NL"/>
              </w:rPr>
              <w:t xml:space="preserve"> – </w:t>
            </w:r>
            <w:bookmarkEnd w:id="2"/>
            <w:r w:rsidRPr="00412FE5">
              <w:rPr>
                <w:rFonts w:ascii="Times New Roman" w:hAnsi="Times New Roman"/>
                <w:bCs/>
                <w:color w:val="000000" w:themeColor="text1"/>
                <w:sz w:val="28"/>
                <w:szCs w:val="28"/>
                <w:lang w:val="nl-NL"/>
              </w:rPr>
              <w:t>Cố vấn cấp cao công ty Leanwares</w:t>
            </w:r>
          </w:p>
        </w:tc>
        <w:tc>
          <w:tcPr>
            <w:tcW w:w="900" w:type="dxa"/>
            <w:tcBorders>
              <w:top w:val="single" w:sz="4" w:space="0" w:color="auto"/>
              <w:left w:val="single" w:sz="4" w:space="0" w:color="auto"/>
              <w:bottom w:val="single" w:sz="4" w:space="0" w:color="auto"/>
              <w:right w:val="single" w:sz="4" w:space="0" w:color="auto"/>
            </w:tcBorders>
          </w:tcPr>
          <w:p w14:paraId="78DA8CED" w14:textId="3E3A80D7" w:rsidR="000B5E59" w:rsidRPr="00412FE5" w:rsidRDefault="000B5E59" w:rsidP="000B5E59">
            <w:pPr>
              <w:jc w:val="center"/>
              <w:rPr>
                <w:rFonts w:ascii="Times New Roman" w:hAnsi="Times New Roman"/>
                <w:bCs/>
                <w:color w:val="000000" w:themeColor="text1"/>
                <w:spacing w:val="-2"/>
                <w:sz w:val="28"/>
                <w:szCs w:val="28"/>
                <w:lang w:val="nl-NL"/>
              </w:rPr>
            </w:pPr>
            <w:r w:rsidRPr="00412FE5">
              <w:rPr>
                <w:rFonts w:ascii="Times New Roman" w:hAnsi="Times New Roman"/>
                <w:bCs/>
                <w:color w:val="000000" w:themeColor="text1"/>
                <w:spacing w:val="-2"/>
                <w:sz w:val="28"/>
                <w:szCs w:val="28"/>
                <w:lang w:val="nl-NL"/>
              </w:rPr>
              <w:t>75</w:t>
            </w:r>
          </w:p>
        </w:tc>
      </w:tr>
      <w:tr w:rsidR="008014F7" w:rsidRPr="00412FE5" w14:paraId="033D3FA6" w14:textId="77777777" w:rsidTr="00161653">
        <w:trPr>
          <w:trHeight w:val="197"/>
        </w:trPr>
        <w:tc>
          <w:tcPr>
            <w:tcW w:w="746" w:type="dxa"/>
            <w:tcBorders>
              <w:top w:val="single" w:sz="4" w:space="0" w:color="auto"/>
              <w:left w:val="single" w:sz="4" w:space="0" w:color="auto"/>
              <w:bottom w:val="single" w:sz="4" w:space="0" w:color="auto"/>
              <w:right w:val="single" w:sz="4" w:space="0" w:color="auto"/>
            </w:tcBorders>
            <w:hideMark/>
          </w:tcPr>
          <w:p w14:paraId="60FDA357" w14:textId="77777777" w:rsidR="00712807" w:rsidRPr="00412FE5" w:rsidRDefault="00712807" w:rsidP="00712807">
            <w:pPr>
              <w:tabs>
                <w:tab w:val="left" w:pos="2160"/>
              </w:tabs>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10</w:t>
            </w:r>
          </w:p>
        </w:tc>
        <w:tc>
          <w:tcPr>
            <w:tcW w:w="4564" w:type="dxa"/>
            <w:tcBorders>
              <w:top w:val="single" w:sz="4" w:space="0" w:color="auto"/>
              <w:left w:val="single" w:sz="4" w:space="0" w:color="auto"/>
              <w:bottom w:val="single" w:sz="4" w:space="0" w:color="auto"/>
              <w:right w:val="single" w:sz="4" w:space="0" w:color="auto"/>
            </w:tcBorders>
            <w:hideMark/>
          </w:tcPr>
          <w:p w14:paraId="71DD585C" w14:textId="77777777" w:rsidR="00712807" w:rsidRPr="00412FE5" w:rsidRDefault="001E4AB9" w:rsidP="00712807">
            <w:pPr>
              <w:jc w:val="both"/>
              <w:rPr>
                <w:rFonts w:ascii="Times New Roman" w:hAnsi="Times New Roman"/>
                <w:noProof/>
                <w:color w:val="000000" w:themeColor="text1"/>
                <w:sz w:val="28"/>
                <w:szCs w:val="28"/>
                <w:lang w:val="pt-BR"/>
              </w:rPr>
            </w:pPr>
            <w:hyperlink r:id="rId8" w:anchor="_Toc115421348" w:history="1">
              <w:r w:rsidR="00712807" w:rsidRPr="00412FE5">
                <w:rPr>
                  <w:rFonts w:ascii="Times New Roman" w:hAnsi="Times New Roman"/>
                  <w:color w:val="000000" w:themeColor="text1"/>
                  <w:sz w:val="28"/>
                  <w:szCs w:val="28"/>
                  <w:lang w:val="pt-BR"/>
                </w:rPr>
                <w:t xml:space="preserve"> Tham luận: </w:t>
              </w:r>
              <w:r w:rsidR="00712807" w:rsidRPr="00412FE5">
                <w:rPr>
                  <w:rFonts w:ascii="Times New Roman" w:hAnsi="Times New Roman"/>
                  <w:bCs/>
                  <w:color w:val="000000" w:themeColor="text1"/>
                  <w:sz w:val="28"/>
                  <w:szCs w:val="28"/>
                </w:rPr>
                <w:t xml:space="preserve">Những lưu ý khi lựa chọn phát hành cổ phiếu hay trái phiếu. </w:t>
              </w:r>
              <w:r w:rsidR="00712807" w:rsidRPr="00412FE5">
                <w:rPr>
                  <w:rFonts w:ascii="Times New Roman" w:hAnsi="Times New Roman"/>
                  <w:noProof/>
                  <w:color w:val="000000" w:themeColor="text1"/>
                  <w:sz w:val="28"/>
                  <w:szCs w:val="28"/>
                  <w:lang w:val="pt-BR"/>
                </w:rPr>
                <w:t>Quy định pháp luật về xử lý hành vi trong chứng khoán</w:t>
              </w:r>
              <w:r w:rsidR="00712807" w:rsidRPr="00412FE5">
                <w:rPr>
                  <w:rFonts w:ascii="Times New Roman" w:hAnsi="Times New Roman"/>
                  <w:noProof/>
                  <w:webHidden/>
                  <w:color w:val="000000" w:themeColor="text1"/>
                  <w:sz w:val="28"/>
                  <w:szCs w:val="28"/>
                  <w:lang w:val="pt-BR"/>
                </w:rPr>
                <w:t>,</w:t>
              </w:r>
            </w:hyperlink>
            <w:r w:rsidR="00712807" w:rsidRPr="00412FE5">
              <w:rPr>
                <w:rFonts w:ascii="Times New Roman" w:hAnsi="Times New Roman"/>
                <w:noProof/>
                <w:color w:val="000000" w:themeColor="text1"/>
                <w:sz w:val="28"/>
                <w:szCs w:val="28"/>
                <w:lang w:val="pt-BR"/>
              </w:rPr>
              <w:t xml:space="preserve"> thực trạng thực thi.</w:t>
            </w:r>
          </w:p>
          <w:p w14:paraId="7D702049" w14:textId="52EA4404" w:rsidR="003F6913" w:rsidRPr="00412FE5" w:rsidRDefault="003F6913" w:rsidP="00712807">
            <w:pPr>
              <w:jc w:val="both"/>
              <w:rPr>
                <w:rFonts w:ascii="Times New Roman" w:hAnsi="Times New Roman"/>
                <w:bCs/>
                <w:color w:val="000000" w:themeColor="text1"/>
                <w:spacing w:val="-2"/>
                <w:sz w:val="28"/>
                <w:szCs w:val="28"/>
                <w:lang w:val="nl-NL"/>
              </w:rPr>
            </w:pPr>
          </w:p>
        </w:tc>
        <w:tc>
          <w:tcPr>
            <w:tcW w:w="3618" w:type="dxa"/>
            <w:tcBorders>
              <w:top w:val="single" w:sz="4" w:space="0" w:color="auto"/>
              <w:left w:val="single" w:sz="4" w:space="0" w:color="auto"/>
              <w:bottom w:val="single" w:sz="4" w:space="0" w:color="auto"/>
              <w:right w:val="single" w:sz="4" w:space="0" w:color="auto"/>
            </w:tcBorders>
          </w:tcPr>
          <w:p w14:paraId="51938EFF" w14:textId="2192C167" w:rsidR="00712807" w:rsidRPr="00412FE5" w:rsidRDefault="007468F0" w:rsidP="00712807">
            <w:pPr>
              <w:spacing w:before="120" w:after="120" w:line="360" w:lineRule="exact"/>
              <w:jc w:val="both"/>
              <w:rPr>
                <w:rFonts w:ascii="Times New Roman" w:hAnsi="Times New Roman"/>
                <w:color w:val="000000" w:themeColor="text1"/>
                <w:sz w:val="28"/>
                <w:szCs w:val="28"/>
                <w:lang w:val="nl-NL"/>
              </w:rPr>
            </w:pPr>
            <w:bookmarkStart w:id="3" w:name="_Hlk136434746"/>
            <w:r w:rsidRPr="00412FE5">
              <w:rPr>
                <w:rFonts w:ascii="Times New Roman" w:hAnsi="Times New Roman"/>
                <w:color w:val="000000" w:themeColor="text1"/>
                <w:sz w:val="28"/>
                <w:szCs w:val="28"/>
              </w:rPr>
              <w:t>TS.</w:t>
            </w:r>
            <w:r w:rsidR="00B314C3" w:rsidRPr="00412FE5">
              <w:rPr>
                <w:rFonts w:ascii="Times New Roman" w:hAnsi="Times New Roman"/>
                <w:color w:val="000000" w:themeColor="text1"/>
                <w:sz w:val="28"/>
                <w:szCs w:val="28"/>
              </w:rPr>
              <w:t xml:space="preserve"> </w:t>
            </w:r>
            <w:r w:rsidRPr="00412FE5">
              <w:rPr>
                <w:rFonts w:ascii="Times New Roman" w:hAnsi="Times New Roman"/>
                <w:color w:val="000000" w:themeColor="text1"/>
                <w:sz w:val="28"/>
                <w:szCs w:val="28"/>
              </w:rPr>
              <w:t>Trần Nho Thìn</w:t>
            </w:r>
            <w:r w:rsidRPr="00412FE5">
              <w:rPr>
                <w:rFonts w:ascii="Times New Roman" w:hAnsi="Times New Roman"/>
                <w:color w:val="000000" w:themeColor="text1"/>
                <w:sz w:val="28"/>
                <w:szCs w:val="28"/>
              </w:rPr>
              <w:t xml:space="preserve"> </w:t>
            </w:r>
            <w:r w:rsidR="00910818" w:rsidRPr="00412FE5">
              <w:rPr>
                <w:rFonts w:ascii="Times New Roman" w:hAnsi="Times New Roman"/>
                <w:color w:val="000000" w:themeColor="text1"/>
                <w:sz w:val="28"/>
                <w:szCs w:val="28"/>
              </w:rPr>
              <w:t xml:space="preserve">- </w:t>
            </w:r>
            <w:r w:rsidR="00164C01" w:rsidRPr="00412FE5">
              <w:rPr>
                <w:rFonts w:ascii="Times New Roman" w:hAnsi="Times New Roman"/>
                <w:color w:val="000000" w:themeColor="text1"/>
                <w:sz w:val="28"/>
                <w:szCs w:val="28"/>
              </w:rPr>
              <w:t>Viện Khoa học Chính sách và Pháp luật</w:t>
            </w:r>
            <w:bookmarkEnd w:id="3"/>
          </w:p>
        </w:tc>
        <w:tc>
          <w:tcPr>
            <w:tcW w:w="900" w:type="dxa"/>
            <w:tcBorders>
              <w:top w:val="single" w:sz="4" w:space="0" w:color="auto"/>
              <w:left w:val="single" w:sz="4" w:space="0" w:color="auto"/>
              <w:bottom w:val="single" w:sz="4" w:space="0" w:color="auto"/>
              <w:right w:val="single" w:sz="4" w:space="0" w:color="auto"/>
            </w:tcBorders>
          </w:tcPr>
          <w:p w14:paraId="24E1BDDB" w14:textId="2F381BDD" w:rsidR="00712807" w:rsidRPr="00412FE5" w:rsidRDefault="009959A8" w:rsidP="00712807">
            <w:pPr>
              <w:jc w:val="center"/>
              <w:rPr>
                <w:rFonts w:ascii="Times New Roman" w:hAnsi="Times New Roman"/>
                <w:color w:val="000000" w:themeColor="text1"/>
                <w:sz w:val="28"/>
                <w:szCs w:val="28"/>
              </w:rPr>
            </w:pPr>
            <w:r w:rsidRPr="00412FE5">
              <w:rPr>
                <w:rFonts w:ascii="Times New Roman" w:hAnsi="Times New Roman"/>
                <w:color w:val="000000" w:themeColor="text1"/>
                <w:sz w:val="28"/>
                <w:szCs w:val="28"/>
              </w:rPr>
              <w:t>94</w:t>
            </w:r>
          </w:p>
        </w:tc>
      </w:tr>
    </w:tbl>
    <w:p w14:paraId="5FBF628C" w14:textId="77777777" w:rsidR="00887D79" w:rsidRPr="00EE68EF" w:rsidRDefault="00887D79" w:rsidP="00021A86">
      <w:pPr>
        <w:spacing w:line="360" w:lineRule="auto"/>
        <w:ind w:firstLine="397"/>
        <w:jc w:val="both"/>
        <w:rPr>
          <w:rFonts w:ascii="Times New Roman" w:eastAsia="Calibri" w:hAnsi="Times New Roman" w:cs="Times New Roman"/>
          <w:b/>
          <w:i/>
          <w:color w:val="000000" w:themeColor="text1"/>
          <w:sz w:val="28"/>
          <w:szCs w:val="28"/>
        </w:rPr>
      </w:pPr>
    </w:p>
    <w:p w14:paraId="5EA24FD5" w14:textId="77777777" w:rsidR="00887D79" w:rsidRPr="00EE68EF" w:rsidRDefault="00887D79" w:rsidP="00021A86">
      <w:pPr>
        <w:spacing w:after="0" w:line="288" w:lineRule="auto"/>
        <w:ind w:firstLine="576"/>
        <w:jc w:val="both"/>
        <w:rPr>
          <w:rFonts w:ascii="Times New Roman" w:hAnsi="Times New Roman" w:cs="Times New Roman"/>
          <w:b/>
          <w:color w:val="000000" w:themeColor="text1"/>
          <w:sz w:val="28"/>
          <w:szCs w:val="28"/>
        </w:rPr>
        <w:sectPr w:rsidR="00887D79" w:rsidRPr="00EE68EF">
          <w:footerReference w:type="default" r:id="rId9"/>
          <w:pgSz w:w="12240" w:h="15840"/>
          <w:pgMar w:top="1440" w:right="1440" w:bottom="1440" w:left="1440" w:header="720" w:footer="720" w:gutter="0"/>
          <w:cols w:space="720"/>
          <w:docGrid w:linePitch="360"/>
        </w:sectPr>
      </w:pPr>
    </w:p>
    <w:p w14:paraId="0CE17238" w14:textId="092E0754" w:rsidR="00712807" w:rsidRPr="00EE68EF" w:rsidRDefault="00712807" w:rsidP="00712807">
      <w:pPr>
        <w:shd w:val="clear" w:color="auto" w:fill="FFFFFF"/>
        <w:spacing w:line="288" w:lineRule="auto"/>
        <w:ind w:firstLine="576"/>
        <w:jc w:val="both"/>
        <w:outlineLvl w:val="0"/>
        <w:rPr>
          <w:rFonts w:ascii="Times New Roman" w:eastAsia="Times New Roman" w:hAnsi="Times New Roman" w:cs="Times New Roman"/>
          <w:b/>
          <w:bCs/>
          <w:color w:val="000000" w:themeColor="text1"/>
          <w:kern w:val="36"/>
          <w:sz w:val="28"/>
          <w:szCs w:val="28"/>
          <w:lang w:val="pt-BR"/>
        </w:rPr>
      </w:pPr>
      <w:r w:rsidRPr="00EE68EF">
        <w:rPr>
          <w:rFonts w:ascii="Times New Roman" w:eastAsia="Times New Roman" w:hAnsi="Times New Roman" w:cs="Times New Roman"/>
          <w:b/>
          <w:bCs/>
          <w:color w:val="000000" w:themeColor="text1"/>
          <w:sz w:val="28"/>
          <w:szCs w:val="28"/>
          <w:bdr w:val="none" w:sz="0" w:space="0" w:color="auto" w:frame="1"/>
        </w:rPr>
        <w:lastRenderedPageBreak/>
        <w:t xml:space="preserve">Tham luận 1: </w:t>
      </w:r>
      <w:r w:rsidRPr="00EE68EF">
        <w:rPr>
          <w:rFonts w:ascii="Times New Roman" w:eastAsia="Times New Roman" w:hAnsi="Times New Roman" w:cs="Times New Roman"/>
          <w:b/>
          <w:bCs/>
          <w:color w:val="000000" w:themeColor="text1"/>
          <w:kern w:val="36"/>
          <w:sz w:val="28"/>
          <w:szCs w:val="28"/>
          <w:lang w:val="pt-BR"/>
        </w:rPr>
        <w:t xml:space="preserve">Các hình thức huy động vốn của các doanh nghiệp tại Việt Nam </w:t>
      </w:r>
    </w:p>
    <w:p w14:paraId="45DBE9F9" w14:textId="42DA02BC" w:rsidR="00860487" w:rsidRPr="00EE68EF" w:rsidRDefault="000B5E59" w:rsidP="00712807">
      <w:pPr>
        <w:shd w:val="clear" w:color="auto" w:fill="FFFFFF"/>
        <w:spacing w:line="288" w:lineRule="auto"/>
        <w:ind w:firstLine="576"/>
        <w:jc w:val="both"/>
        <w:outlineLvl w:val="0"/>
        <w:rPr>
          <w:rFonts w:ascii="Times New Roman" w:eastAsia="Times New Roman" w:hAnsi="Times New Roman" w:cs="Times New Roman"/>
          <w:b/>
          <w:bCs/>
          <w:i/>
          <w:caps/>
          <w:color w:val="000000" w:themeColor="text1"/>
          <w:kern w:val="36"/>
          <w:sz w:val="28"/>
          <w:szCs w:val="28"/>
          <w:lang w:val="pt-BR"/>
        </w:rPr>
      </w:pPr>
      <w:r>
        <w:rPr>
          <w:rFonts w:ascii="Times New Roman" w:hAnsi="Times New Roman"/>
          <w:b/>
          <w:bCs/>
          <w:i/>
          <w:color w:val="000000" w:themeColor="text1"/>
          <w:sz w:val="28"/>
          <w:szCs w:val="28"/>
        </w:rPr>
        <w:t xml:space="preserve">Luật sư Lê Xuân Thăng </w:t>
      </w:r>
      <w:r w:rsidR="00860487" w:rsidRPr="00EE68EF">
        <w:rPr>
          <w:rFonts w:ascii="Times New Roman" w:hAnsi="Times New Roman"/>
          <w:b/>
          <w:bCs/>
          <w:i/>
          <w:color w:val="000000" w:themeColor="text1"/>
          <w:sz w:val="28"/>
          <w:szCs w:val="28"/>
        </w:rPr>
        <w:t xml:space="preserve"> - </w:t>
      </w:r>
      <w:r>
        <w:rPr>
          <w:rFonts w:ascii="Times New Roman" w:hAnsi="Times New Roman"/>
          <w:b/>
          <w:bCs/>
          <w:i/>
          <w:color w:val="000000" w:themeColor="text1"/>
          <w:sz w:val="28"/>
          <w:szCs w:val="28"/>
          <w:lang w:val="nl-NL"/>
        </w:rPr>
        <w:t>Viện Nghiên cứu Thị trường – Truyền thông Quốc tế (IMRIC)</w:t>
      </w:r>
    </w:p>
    <w:p w14:paraId="3FE784BE" w14:textId="5B1E2BFD" w:rsidR="00712807" w:rsidRPr="00EE68EF" w:rsidRDefault="00712807" w:rsidP="00712807">
      <w:pPr>
        <w:shd w:val="clear" w:color="auto" w:fill="FFFFFF"/>
        <w:spacing w:after="0" w:line="288" w:lineRule="auto"/>
        <w:ind w:firstLine="720"/>
        <w:jc w:val="both"/>
        <w:outlineLvl w:val="3"/>
        <w:rPr>
          <w:rFonts w:ascii="Times New Roman" w:eastAsia="Times New Roman" w:hAnsi="Times New Roman" w:cs="Times New Roman"/>
          <w:bCs/>
          <w:color w:val="000000" w:themeColor="text1"/>
          <w:sz w:val="28"/>
          <w:szCs w:val="28"/>
        </w:rPr>
      </w:pPr>
      <w:r w:rsidRPr="00EE68EF">
        <w:rPr>
          <w:rFonts w:ascii="Times New Roman" w:eastAsia="Times New Roman" w:hAnsi="Times New Roman" w:cs="Times New Roman"/>
          <w:bCs/>
          <w:color w:val="000000" w:themeColor="text1"/>
          <w:sz w:val="28"/>
          <w:szCs w:val="28"/>
          <w:bdr w:val="none" w:sz="0" w:space="0" w:color="auto" w:frame="1"/>
        </w:rPr>
        <w:t xml:space="preserve">Để kinh doanh, không chỉ start-up mà tất cả các loại hình doanh nghiệp đều cần một số vốn nhất định mới có thể thực hiện được. Đặc biệt, trong bối cảnh sau đại dịch Covid-19 xảy ra khiến doanh nghiệp cần huy động thêm vốn để duy trì hoạt động. </w:t>
      </w:r>
    </w:p>
    <w:p w14:paraId="2FD9A67E" w14:textId="77777777" w:rsidR="00712807" w:rsidRPr="00EE68EF" w:rsidRDefault="00712807" w:rsidP="00712807">
      <w:pPr>
        <w:shd w:val="clear" w:color="auto" w:fill="FFFFFF"/>
        <w:spacing w:after="0" w:line="288" w:lineRule="auto"/>
        <w:ind w:firstLine="720"/>
        <w:jc w:val="both"/>
        <w:outlineLvl w:val="4"/>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bdr w:val="none" w:sz="0" w:space="0" w:color="auto" w:frame="1"/>
        </w:rPr>
        <w:t>1. Thế nào là vốn và huy động vốn theo quy định của pháp luật Việt Nam?</w:t>
      </w:r>
    </w:p>
    <w:p w14:paraId="4BD50C9C"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Vốn là tiền, tài sản và quyền tài sản mà nhà đầu tư/chủ sở hữu đóng góp vào việc kinh doanh. Trong bài viết này, khái niệm về vốn được hiểu là tiền. Vốn của doanh nghiệp có thể từ 2 nguồn chính:</w:t>
      </w:r>
    </w:p>
    <w:p w14:paraId="47519889" w14:textId="77777777" w:rsidR="00712807" w:rsidRPr="00EE68EF" w:rsidRDefault="00712807" w:rsidP="00712807">
      <w:pPr>
        <w:numPr>
          <w:ilvl w:val="0"/>
          <w:numId w:val="1"/>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Vốn điều lệ: Loại vốn này là tổng giá trị tài sản do các thành viên, chủ sở hữu đã góp hoặc cam kết góp khi thành lập doanh nghiệp; và</w:t>
      </w:r>
    </w:p>
    <w:p w14:paraId="20558DC6" w14:textId="77777777" w:rsidR="00712807" w:rsidRPr="00EE68EF" w:rsidRDefault="00712807" w:rsidP="00712807">
      <w:pPr>
        <w:numPr>
          <w:ilvl w:val="0"/>
          <w:numId w:val="1"/>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Những nguồn vốn khác: Loại vốn này có được từ việc huy động vốn của doanh nghiệp thông qua các khoản vay nợ, trái phiếu,…</w:t>
      </w:r>
    </w:p>
    <w:p w14:paraId="0D2C9BC8"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Ngoài ra, việc huy động vốn là một hoạt động của doanh nghiệp để tăng thêm vốn cho công việc kinh doanh của mình. Việc tăng vốn điều lệ và vốn từ các nguồn khác chính là việc doanh nghiệp đã tự huy động vốn cho mình.</w:t>
      </w:r>
    </w:p>
    <w:p w14:paraId="0360F9A3" w14:textId="77777777" w:rsidR="00712807" w:rsidRPr="00EE68EF" w:rsidRDefault="00712807" w:rsidP="00712807">
      <w:pPr>
        <w:shd w:val="clear" w:color="auto" w:fill="FFFFFF"/>
        <w:spacing w:after="0" w:line="288" w:lineRule="auto"/>
        <w:ind w:firstLine="720"/>
        <w:jc w:val="both"/>
        <w:outlineLvl w:val="4"/>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bdr w:val="none" w:sz="0" w:space="0" w:color="auto" w:frame="1"/>
        </w:rPr>
        <w:t>2. Việc huy động vốn tại Việt Nam có những hình thức nào?</w:t>
      </w:r>
    </w:p>
    <w:p w14:paraId="3A559B9C"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Chúng tôi giới thiệu với bạn đọc những hình thức huy động vốn thường gặp như sau:</w:t>
      </w:r>
    </w:p>
    <w:p w14:paraId="013F8EC3"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bdr w:val="none" w:sz="0" w:space="0" w:color="auto" w:frame="1"/>
        </w:rPr>
        <w:t>2.1. Huy động vốn điều lệ</w:t>
      </w:r>
    </w:p>
    <w:p w14:paraId="7E546F35"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Dưới đây là cách một doanh nghiệp có thể tăng vốn điều lệ của mình qua việc huy động vốn:</w:t>
      </w:r>
    </w:p>
    <w:p w14:paraId="083B3015"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a. Công ty mẹ góp thêm vốn vào công ty con tại Việt Nam</w:t>
      </w:r>
    </w:p>
    <w:p w14:paraId="61B03CF7"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Theo quy định của pháp luật, công ty mẹ nước ngoài là nhà đầu tư nước ngoài được ghi nhận trên Giấy chứng nhận đăng ký đầu tư của doanh nghiệp. Vì vậy, công ty mẹ có thể tăng vốn cho công ty con Việt Nam bằng cách tăng vốn điều lệ. Trường hợp phần tăng thêm vượt quá mức vốn đầu tư được phép đầu tư thì trước hết công ty con phải thực hiện theo quy định của pháp luật về đầu tư.</w:t>
      </w:r>
    </w:p>
    <w:p w14:paraId="411FB76E"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b. Phát hành thêm cổ phiếu</w:t>
      </w:r>
    </w:p>
    <w:p w14:paraId="78CCDFC8"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lastRenderedPageBreak/>
        <w:t>Chỉ có công ty cổ phần mới được phát hành cổ phiếu để huy động vốn. Việc phát hành cổ phiếu phải tuân thủ nghiêm ngặt các quy định của pháp luật về doanh nghiệp và các quy định có liên quan. Có 03 hình thức chào bán cổ phiếu:</w:t>
      </w:r>
    </w:p>
    <w:p w14:paraId="66B20047" w14:textId="77777777" w:rsidR="00712807" w:rsidRPr="00EE68EF" w:rsidRDefault="00712807" w:rsidP="00712807">
      <w:pPr>
        <w:numPr>
          <w:ilvl w:val="0"/>
          <w:numId w:val="2"/>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 Chào bán cổ phần cho cổ đông hiện hữu;</w:t>
      </w:r>
    </w:p>
    <w:p w14:paraId="55C1911D" w14:textId="77777777" w:rsidR="00712807" w:rsidRPr="00EE68EF" w:rsidRDefault="00712807" w:rsidP="00712807">
      <w:pPr>
        <w:numPr>
          <w:ilvl w:val="0"/>
          <w:numId w:val="2"/>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Chào bán cổ phần ra công chúng; và </w:t>
      </w:r>
    </w:p>
    <w:p w14:paraId="7DE8DFE5" w14:textId="77777777" w:rsidR="00712807" w:rsidRPr="00EE68EF" w:rsidRDefault="00712807" w:rsidP="00712807">
      <w:pPr>
        <w:numPr>
          <w:ilvl w:val="0"/>
          <w:numId w:val="2"/>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Chào bán cổ phần riêng lẻ.</w:t>
      </w:r>
    </w:p>
    <w:p w14:paraId="69E256A4"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c. Tăng vốn điều lệ</w:t>
      </w:r>
    </w:p>
    <w:p w14:paraId="2B22B48F"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Phương thức này có thể phù hợp với cả loại hình công ty trách nhiệm hữu hạn và công ty cổ phần. Có một số trường hợp như sau:</w:t>
      </w:r>
    </w:p>
    <w:p w14:paraId="6D75A9C3" w14:textId="77777777" w:rsidR="00712807" w:rsidRPr="00EE68EF" w:rsidRDefault="00712807" w:rsidP="00FF4236">
      <w:pPr>
        <w:numPr>
          <w:ilvl w:val="0"/>
          <w:numId w:val="3"/>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tăng vốn điều lệ và tất cả các chủ sở hữu hiện có sẽ góp thêm vốn đối theo tỷ lệ sở hữu phần vốn góp của họ. Theo đó, vốn điều lệ tăng, đồng thời giữ nguyên tỷ lệ sở hữu của cổ đông/thành viên hiện hữu;</w:t>
      </w:r>
    </w:p>
    <w:p w14:paraId="55FE998C" w14:textId="77777777" w:rsidR="00712807" w:rsidRPr="00EE68EF" w:rsidRDefault="00712807" w:rsidP="00FF4236">
      <w:pPr>
        <w:numPr>
          <w:ilvl w:val="0"/>
          <w:numId w:val="3"/>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tăng vốn điều lệ và không phải tất cả các chủ sở hữu hiện có đều góp thêm vốn. Theo đó, vốn điều lệ tăng, nhưng tỷ lệ sở hữu của các chủ sở hữu hiện có sẽ thay đổi tương ứng; và</w:t>
      </w:r>
    </w:p>
    <w:p w14:paraId="23556581" w14:textId="77777777" w:rsidR="00712807" w:rsidRPr="00EE68EF" w:rsidRDefault="00712807" w:rsidP="00FF4236">
      <w:pPr>
        <w:numPr>
          <w:ilvl w:val="0"/>
          <w:numId w:val="3"/>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tăng vốn điều lệ nhưng phần tăng thêm là của chủ sở hữu mới. Do đó, vốn điều lệ nhiều hơn và tỷ lệ sở hữu của các chủ sở hữu hiện tại thay đổi do sự xuất hiện của các chủ sở hữu mới.</w:t>
      </w:r>
    </w:p>
    <w:p w14:paraId="1E23D0F2"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2.2. </w:t>
      </w:r>
      <w:r w:rsidRPr="00EE68EF">
        <w:rPr>
          <w:rFonts w:ascii="Times New Roman" w:eastAsia="Times New Roman" w:hAnsi="Times New Roman" w:cs="Times New Roman"/>
          <w:b/>
          <w:bCs/>
          <w:color w:val="000000" w:themeColor="text1"/>
          <w:sz w:val="28"/>
          <w:szCs w:val="28"/>
          <w:bdr w:val="none" w:sz="0" w:space="0" w:color="auto" w:frame="1"/>
        </w:rPr>
        <w:t>Huy động từ khoản vay</w:t>
      </w:r>
    </w:p>
    <w:p w14:paraId="5F13878A"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rPr>
        <w:t>Doanh nghiệp có thể xem xét gọi thêm vốn từ ngoài các thành viên/chủ sở hữu.</w:t>
      </w:r>
      <w:r w:rsidRPr="00EE68EF">
        <w:rPr>
          <w:rFonts w:ascii="Times New Roman" w:eastAsia="Times New Roman" w:hAnsi="Times New Roman" w:cs="Times New Roman"/>
          <w:color w:val="000000" w:themeColor="text1"/>
          <w:sz w:val="28"/>
          <w:szCs w:val="28"/>
        </w:rPr>
        <w:t> Thông thường</w:t>
      </w:r>
      <w:r w:rsidRPr="00EE68EF">
        <w:rPr>
          <w:rFonts w:ascii="Times New Roman" w:eastAsia="Times New Roman" w:hAnsi="Times New Roman" w:cs="Times New Roman"/>
          <w:color w:val="000000" w:themeColor="text1"/>
          <w:sz w:val="28"/>
          <w:szCs w:val="28"/>
          <w:bdr w:val="none" w:sz="0" w:space="0" w:color="auto" w:frame="1"/>
        </w:rPr>
        <w:t>, có một số cách như sau:</w:t>
      </w:r>
    </w:p>
    <w:p w14:paraId="0B4398BF"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a. Khoản vay từ công ty mẹ</w:t>
      </w:r>
    </w:p>
    <w:p w14:paraId="3B47822C"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Doanh nghiệp có thể vay tiền, hoặc thậm chí tài sản từ công ty mẹ của mình. Luật pháp cho phép công ty mẹ cho công ty con của mình vay. Trường hợp công ty mẹ là bên nước ngoài thì doanh nghiệp phải </w:t>
      </w:r>
      <w:hyperlink r:id="rId10" w:history="1">
        <w:r w:rsidRPr="00EE68EF">
          <w:rPr>
            <w:rFonts w:ascii="Times New Roman" w:eastAsia="Times New Roman" w:hAnsi="Times New Roman" w:cs="Times New Roman"/>
            <w:bCs/>
            <w:color w:val="000000" w:themeColor="text1"/>
            <w:sz w:val="28"/>
            <w:szCs w:val="28"/>
            <w:bdr w:val="none" w:sz="0" w:space="0" w:color="auto" w:frame="1"/>
            <w:lang w:val="vi-VN"/>
          </w:rPr>
          <w:t>đăng ký khoản vay trung dài hạn với Ngân hàng Nhà nước</w:t>
        </w:r>
      </w:hyperlink>
      <w:r w:rsidRPr="00EE68EF">
        <w:rPr>
          <w:rFonts w:ascii="Times New Roman" w:eastAsia="Times New Roman" w:hAnsi="Times New Roman" w:cs="Times New Roman"/>
          <w:color w:val="000000" w:themeColor="text1"/>
          <w:sz w:val="28"/>
          <w:szCs w:val="28"/>
          <w:bdr w:val="none" w:sz="0" w:space="0" w:color="auto" w:frame="1"/>
          <w:lang w:val="vi-VN"/>
        </w:rPr>
        <w:t>. Cũng cần báo cáo tình hình khoản vay theo định kỳ cho Ngân hàng Nhà nước. Doanh nghiệp cũng cần báo cáo định kỳ với </w:t>
      </w:r>
      <w:hyperlink r:id="rId11" w:anchor="%40%3F_afrLoop%3D15885249232785506%26centerWidth%3D80%2525%26leftWidth%3D10%2525%26rightWidth%3D10%2525%26showFooter%3Dfalse%26showHeader%3Dfalse%26_adf.ctrl-state%3D195wgwqm52_49" w:history="1">
        <w:r w:rsidRPr="00EE68EF">
          <w:rPr>
            <w:rFonts w:ascii="Times New Roman" w:eastAsia="Times New Roman" w:hAnsi="Times New Roman" w:cs="Times New Roman"/>
            <w:bCs/>
            <w:color w:val="000000" w:themeColor="text1"/>
            <w:sz w:val="28"/>
            <w:szCs w:val="28"/>
            <w:bdr w:val="none" w:sz="0" w:space="0" w:color="auto" w:frame="1"/>
            <w:lang w:val="vi-VN"/>
          </w:rPr>
          <w:t>Ngân hàng Nhà nước</w:t>
        </w:r>
      </w:hyperlink>
      <w:r w:rsidRPr="00EE68EF">
        <w:rPr>
          <w:rFonts w:ascii="Times New Roman" w:eastAsia="Times New Roman" w:hAnsi="Times New Roman" w:cs="Times New Roman"/>
          <w:b/>
          <w:bCs/>
          <w:color w:val="000000" w:themeColor="text1"/>
          <w:sz w:val="28"/>
          <w:szCs w:val="28"/>
          <w:bdr w:val="none" w:sz="0" w:space="0" w:color="auto" w:frame="1"/>
          <w:lang w:val="vi-VN"/>
        </w:rPr>
        <w:t>.</w:t>
      </w:r>
    </w:p>
    <w:p w14:paraId="4159A0F6"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b. Khoản vay từ các tổ chức tín dụng</w:t>
      </w:r>
    </w:p>
    <w:p w14:paraId="2680C214"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 xml:space="preserve">Các tổ chức tín dụng bao gồm ngân hàng, tổ chức tín dụng phi ngân hàng, tổ chức tài chính vi mô, … có thể cho vay có thời hạn cụ thể cho hoạt động của doanh nghiệp. Để được vay vốn từ một tổ chức tín dụng, doanh nghiệp phải đáp ứng một </w:t>
      </w:r>
      <w:r w:rsidRPr="00EE68EF">
        <w:rPr>
          <w:rFonts w:ascii="Times New Roman" w:eastAsia="Times New Roman" w:hAnsi="Times New Roman" w:cs="Times New Roman"/>
          <w:color w:val="000000" w:themeColor="text1"/>
          <w:sz w:val="28"/>
          <w:szCs w:val="28"/>
          <w:bdr w:val="none" w:sz="0" w:space="0" w:color="auto" w:frame="1"/>
          <w:lang w:val="vi-VN"/>
        </w:rPr>
        <w:lastRenderedPageBreak/>
        <w:t>số yêu cầu. Bên cạnh đó, doanh nghiệp phải bảo lãnh khoản vay bằng chính tài sản của mình hoặc bất kỳ tài sản nào từ bên thứ ba.</w:t>
      </w:r>
    </w:p>
    <w:p w14:paraId="34A24266"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c. </w:t>
      </w:r>
      <w:r w:rsidRPr="00EE68EF">
        <w:rPr>
          <w:rFonts w:ascii="Times New Roman" w:eastAsia="Times New Roman" w:hAnsi="Times New Roman" w:cs="Times New Roman"/>
          <w:b/>
          <w:bCs/>
          <w:color w:val="000000" w:themeColor="text1"/>
          <w:sz w:val="28"/>
          <w:szCs w:val="28"/>
          <w:bdr w:val="none" w:sz="0" w:space="0" w:color="auto" w:frame="1"/>
          <w:lang w:val="vi-VN"/>
        </w:rPr>
        <w:t>Phát hành trái phiếu ra công chúng</w:t>
      </w:r>
    </w:p>
    <w:p w14:paraId="4FDA0152"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Trái phiếu doanh nghiệp là loại chứng khoán có kỳ hạn từ 01 năm trở lên do doanh nghiệp phát hành. Bằng việc phát hành trái phiếu, doanh nghiệp xác nhận nghĩa vụ trả nợ gốc, lãi, và các nghĩa vụ khác (nếu có) đối với người sở hữu trái phiếu. </w:t>
      </w:r>
      <w:r w:rsidRPr="00EE68EF">
        <w:rPr>
          <w:rFonts w:ascii="Times New Roman" w:eastAsia="Times New Roman" w:hAnsi="Times New Roman" w:cs="Times New Roman"/>
          <w:color w:val="000000" w:themeColor="text1"/>
          <w:sz w:val="28"/>
          <w:szCs w:val="28"/>
          <w:bdr w:val="none" w:sz="0" w:space="0" w:color="auto" w:frame="1"/>
        </w:rPr>
        <w:t>Căn cứ vào các quy định về trái phiếu doanh nghiệp, doanh nghiệp phát hành có thể huy động vốn để sử dụng.</w:t>
      </w:r>
      <w:r w:rsidRPr="00EE68EF">
        <w:rPr>
          <w:rFonts w:ascii="Times New Roman" w:eastAsia="Times New Roman" w:hAnsi="Times New Roman" w:cs="Times New Roman"/>
          <w:color w:val="000000" w:themeColor="text1"/>
          <w:sz w:val="28"/>
          <w:szCs w:val="28"/>
        </w:rPr>
        <w:t> </w:t>
      </w:r>
      <w:r w:rsidRPr="00EE68EF">
        <w:rPr>
          <w:rFonts w:ascii="Times New Roman" w:eastAsia="Times New Roman" w:hAnsi="Times New Roman" w:cs="Times New Roman"/>
          <w:color w:val="000000" w:themeColor="text1"/>
          <w:sz w:val="28"/>
          <w:szCs w:val="28"/>
          <w:bdr w:val="none" w:sz="0" w:space="0" w:color="auto" w:frame="1"/>
        </w:rPr>
        <w:t>Điều này cũng có nghĩa là họ phải đảm bảo khả năng trả nợ của chính mình.</w:t>
      </w:r>
    </w:p>
    <w:p w14:paraId="79717E74"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quyết định lãi suất và phát hành trái phiếu doanh nghiệp nếu đáp ứng yêu cầu về số lượng, vốn còn lại và thời gian, thủ tục phát hành trái phiếu. Ngoài ra, doanh nghiệp phải tuân thủ các quy định về sở giao dịch chứng khoán nếu thực hiện hình thức huy động vốn này từ các Sở giao dịch chứng khoán tại Việt Nam.</w:t>
      </w:r>
    </w:p>
    <w:p w14:paraId="120D15EA" w14:textId="77777777" w:rsidR="00712807" w:rsidRPr="00EE68EF" w:rsidRDefault="00712807" w:rsidP="00712807">
      <w:pPr>
        <w:shd w:val="clear" w:color="auto" w:fill="FFFFFF"/>
        <w:spacing w:after="0" w:line="288" w:lineRule="auto"/>
        <w:ind w:firstLine="720"/>
        <w:jc w:val="both"/>
        <w:outlineLvl w:val="5"/>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d. </w:t>
      </w:r>
      <w:r w:rsidRPr="00EE68EF">
        <w:rPr>
          <w:rFonts w:ascii="Times New Roman" w:eastAsia="Times New Roman" w:hAnsi="Times New Roman" w:cs="Times New Roman"/>
          <w:b/>
          <w:bCs/>
          <w:color w:val="000000" w:themeColor="text1"/>
          <w:sz w:val="28"/>
          <w:szCs w:val="28"/>
          <w:bdr w:val="none" w:sz="0" w:space="0" w:color="auto" w:frame="1"/>
          <w:lang w:val="vi-VN"/>
        </w:rPr>
        <w:t>Đầu tư từ quỹ đầu tư</w:t>
      </w:r>
    </w:p>
    <w:p w14:paraId="1B0E6988"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Trên thực tế, vốn từ các quỹ đầu tư là một giải pháp đáng cân nhắc. Việc góp vốn dựa trên các điều khoản và điều kiện của quỹ mà doanh nghiệp phải chấp nhận.</w:t>
      </w:r>
    </w:p>
    <w:p w14:paraId="12F350BD" w14:textId="77777777" w:rsidR="00712807" w:rsidRPr="00EE68EF" w:rsidRDefault="00712807" w:rsidP="00712807">
      <w:pPr>
        <w:shd w:val="clear" w:color="auto" w:fill="FFFFFF"/>
        <w:spacing w:after="0" w:line="288" w:lineRule="auto"/>
        <w:ind w:firstLine="720"/>
        <w:jc w:val="both"/>
        <w:outlineLvl w:val="4"/>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bdr w:val="none" w:sz="0" w:space="0" w:color="auto" w:frame="1"/>
        </w:rPr>
        <w:t>3. Những rủi ro pháp lý nào mà nhà đầu tư cần chú ý?</w:t>
      </w:r>
    </w:p>
    <w:p w14:paraId="1B6D1D55"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Các hình thức huy động vốn có thể tiềm ẩn những rủi ro nhất định như sau:</w:t>
      </w:r>
    </w:p>
    <w:p w14:paraId="440B01F9" w14:textId="77777777" w:rsidR="00712807" w:rsidRPr="00EE68EF" w:rsidRDefault="00712807" w:rsidP="00FF4236">
      <w:pPr>
        <w:numPr>
          <w:ilvl w:val="0"/>
          <w:numId w:val="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Thứ nhất, việc không tuân thủ các quy định có thể dẫn đến việc các nhà đầu tư và các công ty phải chịu hình phạt nặng nề từ cơ quan có thẩm quyền. Ví dụ, phạt tiền khi không đăng ký khoản vay nước ngoài đối với khoản vay trung và dài hạn với cơ quan có thẩm quyền lên đến 60.000.000 đồng (tương đương 2.500 USD).</w:t>
      </w:r>
    </w:p>
    <w:p w14:paraId="75577ADB" w14:textId="77777777" w:rsidR="00712807" w:rsidRPr="00EE68EF" w:rsidRDefault="00712807" w:rsidP="00FF4236">
      <w:pPr>
        <w:numPr>
          <w:ilvl w:val="0"/>
          <w:numId w:val="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Thứ hai, nếu không thực hiện việc cho vay góp vốn theo thủ tục đầu tư, góp vốn thì bên cho vay có thể không được phép thanh toán khoản nợ. Hậu quả tương tự cũng xảy ra khi không chuyển khoản vay qua tài khoản ngân hàng bắt buộc để thực hiện việc góp vốn.</w:t>
      </w:r>
    </w:p>
    <w:p w14:paraId="381115C0" w14:textId="77777777" w:rsidR="00712807" w:rsidRPr="00EE68EF" w:rsidRDefault="00712807" w:rsidP="00FF4236">
      <w:pPr>
        <w:numPr>
          <w:ilvl w:val="0"/>
          <w:numId w:val="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none" w:sz="0" w:space="0" w:color="auto" w:frame="1"/>
          <w:lang w:val="vi-VN"/>
        </w:rPr>
        <w:t>Cuối cùng, tranh chấp liên quan đến thỏa thuận mua cổ phần, vay vốn, góp vốn … là có thể xảy ra. Tranh chấp đó có thể phát sinh từ các thỏa thuận giữa nhà đầu tư và doanh nghiệp nếu các bên không chuẩn bị kỹ lưỡng thỏa thuận đó.</w:t>
      </w:r>
    </w:p>
    <w:p w14:paraId="027C39B3" w14:textId="77777777" w:rsidR="00712807" w:rsidRPr="00EE68EF" w:rsidRDefault="00712807" w:rsidP="0071280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Kết luận, sự đa dạng trong việc góp vốn giúp cho nhà đầu tư và doanh nghiệp có nhiều cơ hội để tiếp cận mục tiêu của họ. Tuy nhiên, nhà đầu tư phải chú ý đến những rủi ro mà mỗi hình thức góp vốn để đưa ra quyết định tốt nhất với mình. Để có thể giảm thiểu những rủi ro trong trường hợp huy động vốn, các bên cần tham </w:t>
      </w:r>
      <w:r w:rsidRPr="00EE68EF">
        <w:rPr>
          <w:rFonts w:ascii="Times New Roman" w:eastAsia="Times New Roman" w:hAnsi="Times New Roman" w:cs="Times New Roman"/>
          <w:color w:val="000000" w:themeColor="text1"/>
          <w:sz w:val="28"/>
          <w:szCs w:val="28"/>
        </w:rPr>
        <w:lastRenderedPageBreak/>
        <w:t>vấn ý kiến của các luật sư. Sự hỗ trợ của các luật sư với các tài liệu và thủ tục pháp lý là cần thiết cho các nhà đầu tư.</w:t>
      </w:r>
    </w:p>
    <w:p w14:paraId="72BE3E6C" w14:textId="77777777" w:rsidR="00712807" w:rsidRPr="00EE68EF" w:rsidRDefault="00712807" w:rsidP="00712807">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br w:type="page"/>
      </w:r>
    </w:p>
    <w:p w14:paraId="46809F28" w14:textId="4A2AF362" w:rsidR="00BC5CCB" w:rsidRPr="00EE68EF" w:rsidRDefault="00BC5CCB" w:rsidP="00860487">
      <w:pPr>
        <w:spacing w:after="0" w:line="288" w:lineRule="auto"/>
        <w:ind w:firstLine="720"/>
        <w:jc w:val="both"/>
        <w:rPr>
          <w:rFonts w:ascii="Times New Roman" w:eastAsia="Calibri" w:hAnsi="Times New Roman" w:cs="Times New Roman"/>
          <w:b/>
          <w:color w:val="000000" w:themeColor="text1"/>
          <w:sz w:val="28"/>
          <w:szCs w:val="28"/>
          <w:lang w:val="pt-BR"/>
        </w:rPr>
      </w:pPr>
      <w:r w:rsidRPr="00EE68EF">
        <w:rPr>
          <w:rFonts w:ascii="Times New Roman" w:hAnsi="Times New Roman" w:cs="Times New Roman"/>
          <w:b/>
          <w:color w:val="000000" w:themeColor="text1"/>
          <w:sz w:val="28"/>
          <w:szCs w:val="28"/>
        </w:rPr>
        <w:lastRenderedPageBreak/>
        <w:t xml:space="preserve">Tham luận </w:t>
      </w:r>
      <w:r w:rsidR="00712807" w:rsidRPr="00EE68EF">
        <w:rPr>
          <w:rFonts w:ascii="Times New Roman" w:hAnsi="Times New Roman" w:cs="Times New Roman"/>
          <w:b/>
          <w:color w:val="000000" w:themeColor="text1"/>
          <w:sz w:val="28"/>
          <w:szCs w:val="28"/>
        </w:rPr>
        <w:t>2</w:t>
      </w:r>
      <w:r w:rsidRPr="00EE68EF">
        <w:rPr>
          <w:rFonts w:ascii="Times New Roman" w:hAnsi="Times New Roman" w:cs="Times New Roman"/>
          <w:b/>
          <w:color w:val="000000" w:themeColor="text1"/>
          <w:sz w:val="28"/>
          <w:szCs w:val="28"/>
        </w:rPr>
        <w:t xml:space="preserve">: </w:t>
      </w:r>
      <w:r w:rsidRPr="00EE68EF">
        <w:rPr>
          <w:rFonts w:ascii="Times New Roman" w:eastAsia="Times New Roman" w:hAnsi="Times New Roman" w:cs="Times New Roman"/>
          <w:b/>
          <w:color w:val="000000" w:themeColor="text1"/>
          <w:sz w:val="28"/>
          <w:szCs w:val="28"/>
          <w:lang w:val="pt-BR"/>
        </w:rPr>
        <w:t xml:space="preserve">Tổng quan các quy định </w:t>
      </w:r>
      <w:r w:rsidRPr="00EE68EF">
        <w:rPr>
          <w:rFonts w:ascii="Times New Roman" w:eastAsia="Calibri" w:hAnsi="Times New Roman" w:cs="Times New Roman"/>
          <w:b/>
          <w:color w:val="000000" w:themeColor="text1"/>
          <w:spacing w:val="-6"/>
          <w:sz w:val="28"/>
          <w:szCs w:val="28"/>
          <w:lang w:val="pt-BR"/>
        </w:rPr>
        <w:t xml:space="preserve">pháp luật về huy động vốn cho </w:t>
      </w:r>
      <w:r w:rsidRPr="00EE68EF">
        <w:rPr>
          <w:rFonts w:ascii="Times New Roman" w:eastAsia="Calibri" w:hAnsi="Times New Roman" w:cs="Times New Roman"/>
          <w:b/>
          <w:color w:val="000000" w:themeColor="text1"/>
          <w:sz w:val="28"/>
          <w:szCs w:val="28"/>
          <w:lang w:val="pt-BR"/>
        </w:rPr>
        <w:t>doanh nghiệp ở Việt Nam hiện nay</w:t>
      </w:r>
    </w:p>
    <w:p w14:paraId="13F65B28" w14:textId="77777777" w:rsidR="000F249D" w:rsidRPr="000F249D" w:rsidRDefault="000F249D" w:rsidP="00860487">
      <w:pPr>
        <w:spacing w:after="0" w:line="288" w:lineRule="auto"/>
        <w:ind w:firstLine="720"/>
        <w:jc w:val="right"/>
        <w:rPr>
          <w:rFonts w:ascii="Times New Roman" w:hAnsi="Times New Roman"/>
          <w:b/>
          <w:i/>
          <w:color w:val="000000" w:themeColor="text1"/>
          <w:sz w:val="28"/>
          <w:szCs w:val="28"/>
        </w:rPr>
      </w:pPr>
      <w:r w:rsidRPr="000F249D">
        <w:rPr>
          <w:rFonts w:ascii="Times New Roman" w:hAnsi="Times New Roman"/>
          <w:b/>
          <w:i/>
          <w:color w:val="000000" w:themeColor="text1"/>
          <w:sz w:val="28"/>
          <w:szCs w:val="28"/>
        </w:rPr>
        <w:t>Luật sư Hoàng Thanh Quý -</w:t>
      </w:r>
      <w:r w:rsidRPr="000F249D">
        <w:rPr>
          <w:rFonts w:ascii="Times New Roman" w:hAnsi="Times New Roman"/>
          <w:b/>
          <w:bCs/>
          <w:i/>
          <w:color w:val="000000" w:themeColor="text1"/>
          <w:sz w:val="28"/>
          <w:szCs w:val="28"/>
        </w:rPr>
        <w:t xml:space="preserve"> </w:t>
      </w:r>
      <w:r w:rsidRPr="000F249D">
        <w:rPr>
          <w:rFonts w:ascii="Times New Roman" w:hAnsi="Times New Roman"/>
          <w:b/>
          <w:i/>
          <w:color w:val="000000" w:themeColor="text1"/>
          <w:sz w:val="28"/>
          <w:szCs w:val="28"/>
        </w:rPr>
        <w:t>Trung tâm Tư vấn Pháp luật Toàn Tâm</w:t>
      </w:r>
    </w:p>
    <w:p w14:paraId="6CC7D9F5" w14:textId="1B5E83E3" w:rsidR="00860487" w:rsidRPr="00EE68EF" w:rsidRDefault="00860487" w:rsidP="00860487">
      <w:pPr>
        <w:spacing w:after="0" w:line="288" w:lineRule="auto"/>
        <w:ind w:firstLine="720"/>
        <w:jc w:val="right"/>
        <w:rPr>
          <w:rFonts w:ascii="Times New Roman" w:eastAsia="Calibri" w:hAnsi="Times New Roman" w:cs="Times New Roman"/>
          <w:b/>
          <w:i/>
          <w:color w:val="000000" w:themeColor="text1"/>
          <w:sz w:val="28"/>
          <w:szCs w:val="28"/>
          <w:lang w:val="pt-BR"/>
        </w:rPr>
      </w:pPr>
      <w:r w:rsidRPr="00EE68EF">
        <w:rPr>
          <w:rFonts w:ascii="Times New Roman" w:hAnsi="Times New Roman"/>
          <w:b/>
          <w:i/>
          <w:color w:val="000000" w:themeColor="text1"/>
          <w:sz w:val="28"/>
          <w:szCs w:val="28"/>
        </w:rPr>
        <w:t xml:space="preserve"> </w:t>
      </w:r>
    </w:p>
    <w:p w14:paraId="4F669E38"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bCs/>
          <w:color w:val="000000" w:themeColor="text1"/>
          <w:sz w:val="28"/>
          <w:szCs w:val="28"/>
        </w:rPr>
      </w:pPr>
      <w:r w:rsidRPr="00EE68EF">
        <w:rPr>
          <w:rFonts w:ascii="Times New Roman" w:eastAsia="Times New Roman" w:hAnsi="Times New Roman" w:cs="Times New Roman"/>
          <w:bCs/>
          <w:color w:val="000000" w:themeColor="text1"/>
          <w:sz w:val="28"/>
          <w:szCs w:val="28"/>
        </w:rPr>
        <w:t>Huy động nguồn vốn cho sản xuất kinh doanh là một trong những vấn đề rất quan trọng, có tính chất sống còn đối với doanh nghiệp, nhất là trong bối cảnh đại dịch Covid-19 đã và đang có tác động rất nghiêm trọng tới nền kinh tế nói chung và cộng đồng doanh nghiệp nói riêng.</w:t>
      </w:r>
    </w:p>
    <w:p w14:paraId="2ED09845" w14:textId="2EDA20F4"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E68EF">
        <w:rPr>
          <w:rFonts w:ascii="Times New Roman" w:eastAsia="Times New Roman" w:hAnsi="Times New Roman" w:cs="Times New Roman"/>
          <w:bCs/>
          <w:i/>
          <w:color w:val="000000" w:themeColor="text1"/>
          <w:sz w:val="28"/>
          <w:szCs w:val="28"/>
        </w:rPr>
        <w:t>Bài toán nguồn vốn trong</w:t>
      </w:r>
      <w:r w:rsidR="00CC3BE3" w:rsidRPr="00EE68EF">
        <w:rPr>
          <w:rFonts w:ascii="Times New Roman" w:eastAsia="Times New Roman" w:hAnsi="Times New Roman" w:cs="Times New Roman"/>
          <w:bCs/>
          <w:i/>
          <w:color w:val="000000" w:themeColor="text1"/>
          <w:sz w:val="28"/>
          <w:szCs w:val="28"/>
        </w:rPr>
        <w:t xml:space="preserve"> giai đoạn phục hồi và phát triển</w:t>
      </w:r>
      <w:r w:rsidR="00122AD4" w:rsidRPr="00EE68EF">
        <w:rPr>
          <w:rFonts w:ascii="Times New Roman" w:eastAsia="Times New Roman" w:hAnsi="Times New Roman" w:cs="Times New Roman"/>
          <w:bCs/>
          <w:i/>
          <w:color w:val="000000" w:themeColor="text1"/>
          <w:sz w:val="28"/>
          <w:szCs w:val="28"/>
        </w:rPr>
        <w:t>:</w:t>
      </w:r>
    </w:p>
    <w:p w14:paraId="136E6550"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Trong hoạt động sản xuất, kinh doanh hiện nay nhu cầu tăng vốn, mở rộng thị trường là một trong những nhu cầu cấp thiết để tăng khả năng hội nhập và cạnh tranh của doanh nghiệp.</w:t>
      </w:r>
    </w:p>
    <w:p w14:paraId="0D31642A" w14:textId="278B41C9"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Việt Nam đang đứng trước thời cơ mới khi thực hiện các hiệp định thương mại tự do (FTA), nhất là các FTA thế hệ mới như Hiệp định Thương mại tự do Việt Nam - EU (EVFTA), Hiệp định Đối tác Toàn diện và Tiến bộ xuyên Thái Bình Dương (CPTPP)… Đây sẽ tạo cơ hội rất lớn cho các doanh nghiệp Việt Nam trong việc đẩy mạnh xuất nhập khẩu, tăng cường thu hút đầu tư nước ngoài. Dịch Covid-19 </w:t>
      </w:r>
      <w:r w:rsidR="003202B1" w:rsidRPr="00EE68EF">
        <w:rPr>
          <w:rFonts w:ascii="Times New Roman" w:eastAsia="Times New Roman" w:hAnsi="Times New Roman" w:cs="Times New Roman"/>
          <w:color w:val="000000" w:themeColor="text1"/>
          <w:sz w:val="28"/>
          <w:szCs w:val="28"/>
        </w:rPr>
        <w:t>đã</w:t>
      </w:r>
      <w:r w:rsidRPr="00EE68EF">
        <w:rPr>
          <w:rFonts w:ascii="Times New Roman" w:eastAsia="Times New Roman" w:hAnsi="Times New Roman" w:cs="Times New Roman"/>
          <w:color w:val="000000" w:themeColor="text1"/>
          <w:sz w:val="28"/>
          <w:szCs w:val="28"/>
        </w:rPr>
        <w:t xml:space="preserve"> tạo nên làn sóng dịch chuyển chuỗi sản xuất, cung ứng sang các nước đang phát triển như Việt Nam.</w:t>
      </w:r>
    </w:p>
    <w:p w14:paraId="3ADC5847" w14:textId="24678AEC"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Bên cạnh đó, doanh nghiệp cũng đang đứng trước xu hướng chuyển đổi mới. </w:t>
      </w:r>
    </w:p>
    <w:p w14:paraId="32337E66"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cạnh việc thiếu hụt thị trường và nguồn nguyên liệu do đại dịch Covid-19 thì gần 10% doanh nghiệp thiếu hụt nguồn vốn và dòng tiền kinh doanh.</w:t>
      </w:r>
    </w:p>
    <w:p w14:paraId="7C84EA64"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Hiện nay, hoạt động của doanh nghiệp chủ yếu dựa vào hai nguồn vốn: Nguồn vốn chủ sở hữu (nguồn vốn bên trong doanh nghiệp) và nguồn Nợ phải trả (nguồn vốn từ bên ngoài). Tương ứng với mỗi nguồn vốn có những cách thức huy động vốn khác nhau nhằm đáp ứng nhu cầu về vốn.</w:t>
      </w:r>
    </w:p>
    <w:p w14:paraId="1220E848" w14:textId="5A675B0E" w:rsidR="00BC5CCB" w:rsidRPr="00EE68EF" w:rsidRDefault="003202B1"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w:t>
      </w:r>
      <w:r w:rsidR="00BC5CCB" w:rsidRPr="00EE68EF">
        <w:rPr>
          <w:rFonts w:ascii="Times New Roman" w:eastAsia="Times New Roman" w:hAnsi="Times New Roman" w:cs="Times New Roman"/>
          <w:color w:val="000000" w:themeColor="text1"/>
          <w:sz w:val="28"/>
          <w:szCs w:val="28"/>
        </w:rPr>
        <w:t>o cơ cấu vốn của doanh nghiệp còn bất hợp lý, nguồn vốn chủ sở hữu chỉ chiếm khoảng 20-30% còn lại là vay tín dụng từ các ngân hàng thương mại, trong khi khu vực này lại thường không thể đáp ứng được nhu cầu vốn vay trung và dài hạn của doanh nghiệp. Cơ cấu chưa hợp lý này chứa đựng nguy cơ rất lớn cho cả ngân hàng, doanh nghiệp và nền kinh tế, trong đó nguy cơ ở phía doanh nghiệp là phải vay với lãi suất cao, chi phí vốn lớn dẫn tới hiệu quả sinh lời thấp…</w:t>
      </w:r>
    </w:p>
    <w:p w14:paraId="137BBFA4"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Phân tích thực trạng huy động vốn của doanh nghiệp Việt Nam hiện nay, theo các chuyên gia, điểm yếu của doanh nghiệp Việt Nam là phụ thuộc quá nhiều vào nguồn vốn vay ngân hàng. Trong khi đó thị trường tín dụng đang bị quá tải do vừa phải lo cung ứng nguồn vốn ngắn hạn, vừa phải lo cung ứng nguồn vốn trung và dài hạn cho nền kinh tế và doanh nghiệp.</w:t>
      </w:r>
    </w:p>
    <w:p w14:paraId="0D73B3DF" w14:textId="012EFE45"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Đồng thời, tiềm lực của các ngân hàng Việt Nam còn hạn chế, để bảo đảm có nguồn vốn trung và dài hạn, các ngân hàng buộc phải đi vay nguồn vốn ngắn hạn</w:t>
      </w:r>
      <w:r w:rsidR="00CC3BE3" w:rsidRPr="00EE68EF">
        <w:rPr>
          <w:rFonts w:ascii="Times New Roman" w:eastAsia="Times New Roman" w:hAnsi="Times New Roman" w:cs="Times New Roman"/>
          <w:color w:val="000000" w:themeColor="text1"/>
          <w:sz w:val="28"/>
          <w:szCs w:val="28"/>
        </w:rPr>
        <w:t>,</w:t>
      </w:r>
      <w:r w:rsidRPr="00EE68EF">
        <w:rPr>
          <w:rFonts w:ascii="Times New Roman" w:eastAsia="Times New Roman" w:hAnsi="Times New Roman" w:cs="Times New Roman"/>
          <w:color w:val="000000" w:themeColor="text1"/>
          <w:sz w:val="28"/>
          <w:szCs w:val="28"/>
        </w:rPr>
        <w:t xml:space="preserve"> lấy nguồn huy động ngắn hạn để cho vay trung và dài hạn. Điều này chứa đựng nguy cơ rất lớn cho cả ngân hàng, doanh nghiệp và nền kinh tế. Nguy cơ ở phía doanh nghiệp là ở khía cạnh phải vay lãi suất cao, chi phí vốn cao dẫn đến hiệu quả sinh lời thấp; mặt khác việc phụ thuộc quá lớn vào nguồn vốn vay ngân hàng sẽ ảnh hưởng nghiêm trọng tới hoạt động của doanh nghiệp trong trường hợp nguồn vay bị hạn chế hoặc gián đoạn.</w:t>
      </w:r>
    </w:p>
    <w:p w14:paraId="2AC83BD1" w14:textId="61D74D8B"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 đó, yêu cầu bảo đảm sự phát triển bền vững của thị trường tài chính, giải quyết việc mất cân bằng giữa thị trường tín dụng và thị trường vốn có ý nghĩa quyết định đối với ổn định kinh tế vĩ mô, nâng cao năng lực cạnh tranh, chất lượng tăng trưởng của nền kinh tế nói chung và hiệu quả của doanh nghiệp nói riêng</w:t>
      </w:r>
      <w:r w:rsidR="003202B1" w:rsidRPr="00EE68EF">
        <w:rPr>
          <w:rFonts w:ascii="Times New Roman" w:eastAsia="Times New Roman" w:hAnsi="Times New Roman" w:cs="Times New Roman"/>
          <w:color w:val="000000" w:themeColor="text1"/>
          <w:sz w:val="28"/>
          <w:szCs w:val="28"/>
        </w:rPr>
        <w:t>.</w:t>
      </w:r>
    </w:p>
    <w:p w14:paraId="5EAB978B" w14:textId="637C99A9"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Chính vì vậy, </w:t>
      </w:r>
      <w:r w:rsidR="00BA7031" w:rsidRPr="00EE68EF">
        <w:rPr>
          <w:rFonts w:ascii="Times New Roman" w:eastAsia="Times New Roman" w:hAnsi="Times New Roman" w:cs="Times New Roman"/>
          <w:color w:val="000000" w:themeColor="text1"/>
          <w:sz w:val="28"/>
          <w:szCs w:val="28"/>
        </w:rPr>
        <w:t>sau</w:t>
      </w:r>
      <w:r w:rsidRPr="00EE68EF">
        <w:rPr>
          <w:rFonts w:ascii="Times New Roman" w:eastAsia="Times New Roman" w:hAnsi="Times New Roman" w:cs="Times New Roman"/>
          <w:color w:val="000000" w:themeColor="text1"/>
          <w:sz w:val="28"/>
          <w:szCs w:val="28"/>
        </w:rPr>
        <w:t xml:space="preserve"> khi tình hình dịch bệnh được kiểm soát, việc khôi phục lại hoạt động của các doanh nghiệp </w:t>
      </w:r>
      <w:r w:rsidR="003202B1" w:rsidRPr="00EE68EF">
        <w:rPr>
          <w:rFonts w:ascii="Times New Roman" w:eastAsia="Times New Roman" w:hAnsi="Times New Roman" w:cs="Times New Roman"/>
          <w:color w:val="000000" w:themeColor="text1"/>
          <w:sz w:val="28"/>
          <w:szCs w:val="28"/>
        </w:rPr>
        <w:t>đã</w:t>
      </w:r>
      <w:r w:rsidRPr="00EE68EF">
        <w:rPr>
          <w:rFonts w:ascii="Times New Roman" w:eastAsia="Times New Roman" w:hAnsi="Times New Roman" w:cs="Times New Roman"/>
          <w:color w:val="000000" w:themeColor="text1"/>
          <w:sz w:val="28"/>
          <w:szCs w:val="28"/>
        </w:rPr>
        <w:t xml:space="preserve"> gặp nhiều khó khăn, đặc biệt là bài toán về nguồn vốn. Do đó, các doanh nghiệp Việt Nam cần xem xét đến bài toán nguồn vốn trong trạng</w:t>
      </w:r>
      <w:r w:rsidR="00DD08FC" w:rsidRPr="00EE68EF">
        <w:rPr>
          <w:rFonts w:ascii="Times New Roman" w:eastAsia="Times New Roman" w:hAnsi="Times New Roman" w:cs="Times New Roman"/>
          <w:color w:val="000000" w:themeColor="text1"/>
          <w:sz w:val="28"/>
          <w:szCs w:val="28"/>
        </w:rPr>
        <w:t xml:space="preserve"> thái</w:t>
      </w:r>
      <w:r w:rsidRPr="00EE68EF">
        <w:rPr>
          <w:rFonts w:ascii="Times New Roman" w:eastAsia="Times New Roman" w:hAnsi="Times New Roman" w:cs="Times New Roman"/>
          <w:color w:val="000000" w:themeColor="text1"/>
          <w:sz w:val="28"/>
          <w:szCs w:val="28"/>
        </w:rPr>
        <w:t xml:space="preserve"> </w:t>
      </w:r>
      <w:r w:rsidR="003202B1" w:rsidRPr="00EE68EF">
        <w:rPr>
          <w:rFonts w:ascii="Times New Roman" w:eastAsia="Times New Roman" w:hAnsi="Times New Roman" w:cs="Times New Roman"/>
          <w:color w:val="000000" w:themeColor="text1"/>
          <w:sz w:val="28"/>
          <w:szCs w:val="28"/>
        </w:rPr>
        <w:t>phục hồi và phát triển.</w:t>
      </w:r>
    </w:p>
    <w:p w14:paraId="77E1886F"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E68EF">
        <w:rPr>
          <w:rFonts w:ascii="Times New Roman" w:eastAsia="Times New Roman" w:hAnsi="Times New Roman" w:cs="Times New Roman"/>
          <w:bCs/>
          <w:i/>
          <w:color w:val="000000" w:themeColor="text1"/>
          <w:sz w:val="28"/>
          <w:szCs w:val="28"/>
        </w:rPr>
        <w:t>Xu hướng mới trong thu hút vốn đầu tư</w:t>
      </w:r>
    </w:p>
    <w:p w14:paraId="223BFB78" w14:textId="25F091E1" w:rsidR="00BC5CCB" w:rsidRPr="00EE68EF" w:rsidRDefault="003202B1"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w:t>
      </w:r>
      <w:r w:rsidR="00BC5CCB" w:rsidRPr="00EE68EF">
        <w:rPr>
          <w:rFonts w:ascii="Times New Roman" w:eastAsia="Times New Roman" w:hAnsi="Times New Roman" w:cs="Times New Roman"/>
          <w:color w:val="000000" w:themeColor="text1"/>
          <w:sz w:val="28"/>
          <w:szCs w:val="28"/>
        </w:rPr>
        <w:t>uốn huy động nguồn vốn có hiệu quả, doanh nghiệp cần phải tập trung vào 4 giải pháp cụ thể: Xác định cơ cấu vốn tối ưu; đa dạng hóa các hình thức huy động vốn; huy động vốn qua thị trường chứng khoán là giải pháp tối ưu mang lại hiệu quả to lớn cho doanh nghiệp; nâng cao chất lượng quản trị doanh nghiệp.</w:t>
      </w:r>
    </w:p>
    <w:p w14:paraId="73341796" w14:textId="0A8C6B7B"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Để đáp ứng nhu cầu này của nhiều doanh nghiệp, ngành dịch vụ tài chính đã có sự thay đổi nhanh chóng. Theo đó, ngành dịch vụ tài chính chuyển dịch từ tương tác trực tiếp với khách hàng sang hoạt động dựa trên nền tảng và hệ sinh thái, phát triển nền kinh tế không dùng tiền mặt, lấy khách hàng làm trung tâm, tính cá nhân hóa cao. Nhiều công ty công nghệ tài chính đã lên ngôi từ xu hướng này và cạnh tranh trực tiếp với ngân hàng. Vì thế, chính các ngân hàng truyền thống cũng buộc </w:t>
      </w:r>
      <w:r w:rsidRPr="00EE68EF">
        <w:rPr>
          <w:rFonts w:ascii="Times New Roman" w:eastAsia="Times New Roman" w:hAnsi="Times New Roman" w:cs="Times New Roman"/>
          <w:color w:val="000000" w:themeColor="text1"/>
          <w:sz w:val="28"/>
          <w:szCs w:val="28"/>
        </w:rPr>
        <w:lastRenderedPageBreak/>
        <w:t>phải nhanh chóng bắt kịp xu hướng để giữ lợi thế cạnh tranh. Hiện có trên 40 ngân hàng Trung ương toàn cầu đang nghiên cứu loại tiền này.</w:t>
      </w:r>
    </w:p>
    <w:p w14:paraId="3079C36A" w14:textId="4126DA2B"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Ở Việt Nam, hành lang pháp lý cho vấn đề này hầu như chưa có, vẫn còn khá nhiều rủi ro, thậm chí có trường hợp “sập sàn”, gây hệ lụy cho các nhà đầu tư. Chính phủ đã sớm có chỉ đạo các cơ quan quản lý của Việt Nam nghiên cứu, xây dựng cơ chế quản lý. Hiện Ngân hàng Nhà nước có tổ nghiên cứu về tiền kỹ thuật số, Bộ Tài chính cũng có tổ nghiên cứu về tiền tảo, tài sản ảo.</w:t>
      </w:r>
    </w:p>
    <w:p w14:paraId="4A4A7EF7" w14:textId="77777777" w:rsidR="00BC5CCB" w:rsidRPr="00EE68EF" w:rsidRDefault="00BC5CCB" w:rsidP="00860487">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Để các doanh nghiệp Việt Nam có đủ nguồn lực vốn để tận dụng lợi thế trong thời kỳ mới, các chuyên gia đề xuất, doanh nghiệp cần đa dạng hóa các hình thức huy động vốn. Ngoài việc huy động vốn từ chủ sở hữu và tín dụng ngân hàng, giải pháp cơ bản về phía doanh nghiệp cần tận dụng kênh huy động vốn dưới hình thức phát hành trái phiếu và cổ phiếu doanh nghiệp. Cùng với đó, các doanh nghiệp có thể sử dụng đến kênh cho thuê tài chính hoặc các hình thức tài trợ thương mại quốc tế.</w:t>
      </w:r>
    </w:p>
    <w:p w14:paraId="3AC1707E"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Vốn là chìa khóa quan trọng trong hoạt động của doanh nghiệp, có ảnh hưởng trực tiếp tới quá trình vận hành và kinh doanh của doanh nghiệp. Theo quy định của pháp luật hiện hành, doanh nghiệp có thể huy động vốn bằng nhiều hình thức khác nhau, phù hợp với định hướng của công ty. Vậy, doanh nghiệp có thể huy động vốn như thế nào? Và pháp luật điều chỉnh hoạt động huy động vốn của doanh nghiệp ra sao?</w:t>
      </w:r>
    </w:p>
    <w:p w14:paraId="3B72A3D9"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b/>
          <w:bCs/>
          <w:color w:val="000000" w:themeColor="text1"/>
          <w:sz w:val="28"/>
          <w:szCs w:val="28"/>
        </w:rPr>
        <w:t>Huy động vốn điều lệ của doanh nghiệp</w:t>
      </w:r>
    </w:p>
    <w:p w14:paraId="380491ED"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Theo Khoản 34 Điều 4 Luật Doanh nghiệp 2020: “</w:t>
      </w:r>
      <w:r w:rsidRPr="00EE68EF">
        <w:rPr>
          <w:rFonts w:ascii="Times New Roman" w:hAnsi="Times New Roman" w:cs="Times New Roman"/>
          <w:i/>
          <w:iCs/>
          <w:color w:val="000000" w:themeColor="text1"/>
          <w:sz w:val="28"/>
          <w:szCs w:val="28"/>
        </w:rPr>
        <w:t>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14:paraId="225EFFA0"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Vốn điều lệ xuất hiện ngay từ thời điểm doanh nghiệp được thành lập, là cơ sở để để xác định phạm vi chịu trách nhiệm tài sản của công ty đối với các nghĩa vụ tài chính của công ty. Trong quá trình hoạt động, doanh nghiệp có thể tăng vốn điều lệ để mở rộng quy mô của công ty. Mỗi loại hình doanh nghiệp sẽ có những cách thức riêng để huy động vốn điều lệ theo quy định của pháp luật như sau:</w:t>
      </w:r>
    </w:p>
    <w:p w14:paraId="31815E64"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nhất, </w:t>
      </w:r>
      <w:r w:rsidRPr="00EE68EF">
        <w:rPr>
          <w:rFonts w:ascii="Times New Roman" w:hAnsi="Times New Roman" w:cs="Times New Roman"/>
          <w:color w:val="000000" w:themeColor="text1"/>
          <w:sz w:val="28"/>
          <w:szCs w:val="28"/>
        </w:rPr>
        <w:t xml:space="preserve">đối với công ty hợp danh, Luật Doanh nghiệp năm 2020 chưa có quy định cụ thể về việc tăng vốn điều lệ của công ty hợp danh. Tuy nhiên từ những quy định về tổ chức và thành viên của của công ty hợp danh, ta có thể hiểu công ty </w:t>
      </w:r>
      <w:r w:rsidRPr="00EE68EF">
        <w:rPr>
          <w:rFonts w:ascii="Times New Roman" w:hAnsi="Times New Roman" w:cs="Times New Roman"/>
          <w:color w:val="000000" w:themeColor="text1"/>
          <w:sz w:val="28"/>
          <w:szCs w:val="28"/>
        </w:rPr>
        <w:lastRenderedPageBreak/>
        <w:t>hợp danh có thể huy động vốn điều lệ bằng cách các thành viên của công ty góp thêm vốn hoặc công ty tiếp nhận thêm các thành viên góp vốn mới.</w:t>
      </w:r>
    </w:p>
    <w:p w14:paraId="4B0EDDD2"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hai, </w:t>
      </w:r>
      <w:r w:rsidRPr="00EE68EF">
        <w:rPr>
          <w:rFonts w:ascii="Times New Roman" w:hAnsi="Times New Roman" w:cs="Times New Roman"/>
          <w:color w:val="000000" w:themeColor="text1"/>
          <w:sz w:val="28"/>
          <w:szCs w:val="28"/>
        </w:rPr>
        <w:t>tương tự như công ty hợp danh, công ty TNHH hai thành viên trở lên cũng huy động vốn điều lệ bằng cách tăng vốn góp của thành viên và tiếp nhận thêm vốn góp từ các thành viên mới. Đối với công ty TNHH một thành viên, việc tăng vốn điều lệ được thực hiện thông qua việc chủ sở hữu của công ty góp thêm vốn và huy động thêm vốn từ người khác. Tuy nhiên, khi công ty TNHH một thành viên huy động thêm vốn từ người khác sẽ phải thực hiện thủ tục thay đổi loại hình doanh nghiệp thành công ty TNHH hai thành viên trở lên hoặc công ty cổ phần.</w:t>
      </w:r>
    </w:p>
    <w:p w14:paraId="1460A3AC"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ba,</w:t>
      </w:r>
      <w:r w:rsidRPr="00EE68EF">
        <w:rPr>
          <w:rFonts w:ascii="Times New Roman" w:hAnsi="Times New Roman" w:cs="Times New Roman"/>
          <w:color w:val="000000" w:themeColor="text1"/>
          <w:sz w:val="28"/>
          <w:szCs w:val="28"/>
        </w:rPr>
        <w:t> công ty cổ phần có sự khác biệt đối với các loại hình doanh nghiệp khác khi thực hiện huy động vốn điều lệ. Ngay từ thời điểm thành lập, vốn điều lệ của công ty cổ phần đã được thể hiện dưới dạng cổ phần và được ghi nhận bằng cổ phiếu, những người sở hữu cổ phần của công ty được gọi là cổ đông. Công ty cổ phần có quyền chào bán các cổ phần của công ty cho các cổ đông hiện hữu và người khác để huy động thêm vốn điều lệ. Đối với các công ty đại chúng, công ty niêm yết, việc huy động vốn điều lệ được diễn ra trên sàn chứng khoán thông qua việc phát hành cổ phiếu và thu hút các nhà đầu tư với quy mô rộng hơn cũng như số vốn điều lệ tăng thêm sẽ lớn hơn. Các hoạt động bán cổ phiếu trên thị trường chứng khoán buộc phải tuân theo các quy định của pháp luật về chứng khoán.</w:t>
      </w:r>
    </w:p>
    <w:p w14:paraId="5A73C3EA"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Như vậy có thể thấy có sự khác biệt giữa các loại hình doanh nghiệp khi thực hiện huy động vốn điều lệ. Sự khác biệt rõ rệt nhất thể hiện ở cách thức huy động vốn của công ty cổ phần, với cách thức huy động vốn thông qua việc chào bán cổ phần, phát hành cổ phiếu, công ty cổ phần có thể huy động được số vốn điều lệ lớn hơn nhiều lần so với công ty trách nhiệm hữu hạn hay công ty hợp danh.</w:t>
      </w:r>
    </w:p>
    <w:p w14:paraId="262FDE52"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b/>
          <w:bCs/>
          <w:color w:val="000000" w:themeColor="text1"/>
          <w:sz w:val="28"/>
          <w:szCs w:val="28"/>
        </w:rPr>
        <w:t>Huy động vốn đầu tư</w:t>
      </w:r>
    </w:p>
    <w:p w14:paraId="1570C25D"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Bên cạnh vốn điều lệ doanh nghiệp, trong quá trình kinh doanh, doanh nghiệp sẽ phải huy động thêm các nguồn vốn khác để thực hiện các dự án, kế hoạch kinh doanh của công ty. Luật Đầu tư quy định: </w:t>
      </w:r>
      <w:r w:rsidRPr="00EE68EF">
        <w:rPr>
          <w:rFonts w:ascii="Times New Roman" w:hAnsi="Times New Roman" w:cs="Times New Roman"/>
          <w:i/>
          <w:iCs/>
          <w:color w:val="000000" w:themeColor="text1"/>
          <w:sz w:val="28"/>
          <w:szCs w:val="28"/>
        </w:rPr>
        <w:t>“Vốn đầu tư là tiền và tài sản khác để thực hiện hoạt động đầu tư kinh doanh”. </w:t>
      </w:r>
      <w:r w:rsidRPr="00EE68EF">
        <w:rPr>
          <w:rFonts w:ascii="Times New Roman" w:hAnsi="Times New Roman" w:cs="Times New Roman"/>
          <w:color w:val="000000" w:themeColor="text1"/>
          <w:sz w:val="28"/>
          <w:szCs w:val="28"/>
        </w:rPr>
        <w:t>Số vốn đầu tư có thể lớn hơn hoặc nhỏ hơn vốn điều lệ của doanh nghiệp. Theo quy định của pháp luật doanh nghiệp hiện nay, doanh nghiệp có thể huy động vốn để thực hiện hoạt động đầu tư, kinh doanh bằng các phương thức sau:</w:t>
      </w:r>
    </w:p>
    <w:p w14:paraId="21DD23B5"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nhất, doanh nghiệp huy động vốn bằng việc phát hành trái phiếu.</w:t>
      </w:r>
    </w:p>
    <w:p w14:paraId="3BAF99E4"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lastRenderedPageBreak/>
        <w:t>Luật Doanh nghiệp 2014 quy định chỉ có công ty cổ phần được quyền phát hành trái phiếu. Tuy nhiên, kể từ ngày 01/01/2021 khi Luật Doanh nghiệp 2020 có hiệu lực, công ty TNHH cũng sẽ có quyền phát hành trái phiếu doanh nghiệp. Trái phiếu được hiểu là một chứng từ ghi nợ của doanh nghiệp. Doanh nghiệp sẽ có nghĩa vụ trả lãi cho những nhà đầu tư sở hữu trái phiếu. Khác với cổ phiếu, nhà đầu tư sở hữu trái phiếu sẽ không trở thành cổ đông hay thành viên của công ty. Số tiền huy động được từ việc bán trái phiếu sẽ không được tính vào phần vốn điều lệ của doanh nghiệp, doanh nghiệp sẽ sử dụng số vốn huy động được từ trái phiếu để thực hiện các hoạt động đầu tư kinh doanh.</w:t>
      </w:r>
    </w:p>
    <w:p w14:paraId="5AAF9013"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hai, huy động vốn từ các nguồn vay tín dụng</w:t>
      </w:r>
    </w:p>
    <w:p w14:paraId="1C371759"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Vay tín dụng là việc các doanh nghiệp vay các khoản vốn để thực hiện hoạt động đầu tư, kinh doanh từ các ngân hàng hoặc tổ chức tín dụng. Theo đó, doanh nghiệp sẽ tiến hành thực hiện các thủ tục vay tín dụng tại các tổ chức tín dụng, thông thường là các ngân hàng. Khi thực hiện các hoạt động vay tín dụng, các ngân hàng sẽ rà soát tình hình tài chính của doanh nghiệp và yêu cầu doanh nghiệp đăng ký các biện pháp bảo đảm để đảm bảo nghĩa vụ thanh toán của mình.</w:t>
      </w:r>
    </w:p>
    <w:p w14:paraId="08878122"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Bên cạnh việc vay tín dụng từ các tổ chức tín dụng, doanh nghiệp có thể vay vốn từ các nguồn tín dụng thương mại. Một số loại tín dụng thương mại thường gặp như: Tín dụng thương mại cấp cho nhà nhập khẩu; Tín dụng thương mại cấp cho người xuất khẩu; Tín dụng nhà môi giới cấp cho người xuất khẩu và nhập khẩu.</w:t>
      </w:r>
    </w:p>
    <w:p w14:paraId="5171B9FC"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ba, doanh nghiệp có thể huy động vốn từ lợi nhuận không chia.</w:t>
      </w:r>
    </w:p>
    <w:p w14:paraId="12F8E113"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Khi doanh nghiệp hoạt động kinh doanh có lãi, song, các thành viên hoặc cổ đông công ty không có nhu cầu nhận phần lợi nhuận đó thì doanh nghiệp có thể sử dụng số lợi nhuận đó để chuyển thành vốn đầu tư cho doanh nghiệp. Đây là hình thức huy động vốn không được pháp luật quy định mà sẽ phụ thuộc vào sự thoả thuận giữa các cổ đông, thành viên với công ty.</w:t>
      </w:r>
    </w:p>
    <w:p w14:paraId="70DF5849"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i/>
          <w:iCs/>
          <w:color w:val="000000" w:themeColor="text1"/>
          <w:sz w:val="28"/>
          <w:szCs w:val="28"/>
        </w:rPr>
        <w:t>Thứ tư, doanh nghiệp huy động vốn góp thực hiện dự án từ các nhà đầu tư khác</w:t>
      </w:r>
    </w:p>
    <w:p w14:paraId="434AE62D"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Trong quá trình kinh doanh của mình, đặc biệt đối với các doanh nghiệp có hoạt động với các dự án lớn, nguồn vốn chủ sở hữu của doanh nghiệp đôi khi là không đủ đối với yêu cầu của dự án, do đó doanh nghiệp cần huy động thêm phần vốn đầu tư từ những nhà đầu tư khác. Các nhà đầu tư sẽ góp vốn đầu tư thực hiện dự án và sẽ hưởng lợi nhuận tương ứng với phần vốn góp của mình trong dự án. Hiện </w:t>
      </w:r>
      <w:r w:rsidRPr="00EE68EF">
        <w:rPr>
          <w:rFonts w:ascii="Times New Roman" w:hAnsi="Times New Roman" w:cs="Times New Roman"/>
          <w:color w:val="000000" w:themeColor="text1"/>
          <w:sz w:val="28"/>
          <w:szCs w:val="28"/>
        </w:rPr>
        <w:lastRenderedPageBreak/>
        <w:t>nay, cách thức huy động vốn này thường được thể hiện dưới dạng các hợp đồng hợp tác kinh doanh giữa các nhà đầu tư.</w:t>
      </w:r>
    </w:p>
    <w:p w14:paraId="2B6D175A" w14:textId="77777777" w:rsidR="00BC5CCB" w:rsidRPr="00EE68EF" w:rsidRDefault="00BC5CCB" w:rsidP="00860487">
      <w:pPr>
        <w:spacing w:after="0" w:line="288" w:lineRule="auto"/>
        <w:ind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Như vậy, trong quá trình hoạt động của mình, các doanh nghiệp sẽ liên tục phải huy động vốn để phù hợp với hoạt động kinh doanh và quản trị công ty. Pháp luật hiện nay có phép doanh nghiệp huy động vốn theo nhiều cách khác nhau. Đối với hoạt động huy động vốn điều lệ, doanh nghiệp buộc phải tuân theo các quy định của pháp luật doanh nghiệp, pháp luật đầu tư, pháp luật chứng khoán và pháp luật có liên quan. Đối với hoạt động huy động vốn đầu tư, doanh nghiệp có thể linh hoạt hơn trong việc lựa chọn cách thức huy động vốn, có thể cùng lúc thực hiện nhiều các thức huy động vốn tuỳ thuộc vào nhu cầu hoạt động, kinh doanh của doanh nghiệp.</w:t>
      </w:r>
    </w:p>
    <w:p w14:paraId="2ACD3F15" w14:textId="77777777" w:rsidR="00B77087"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b/>
          <w:bCs/>
          <w:color w:val="000000" w:themeColor="text1"/>
          <w:sz w:val="28"/>
          <w:szCs w:val="28"/>
          <w:bdr w:val="none" w:sz="0" w:space="0" w:color="auto" w:frame="1"/>
        </w:rPr>
      </w:pPr>
      <w:r w:rsidRPr="00EE68EF">
        <w:rPr>
          <w:rFonts w:ascii="Times New Roman" w:eastAsia="Times New Roman" w:hAnsi="Times New Roman" w:cs="Times New Roman"/>
          <w:b/>
          <w:bCs/>
          <w:color w:val="000000" w:themeColor="text1"/>
          <w:sz w:val="28"/>
          <w:szCs w:val="28"/>
          <w:bdr w:val="none" w:sz="0" w:space="0" w:color="auto" w:frame="1"/>
        </w:rPr>
        <w:t xml:space="preserve"> Doanh nghiệp huy động vốn bằng hình thức vay vốn của các tổ chức, doanh nghiệp</w:t>
      </w:r>
    </w:p>
    <w:p w14:paraId="1325AAB8" w14:textId="327FD62E" w:rsidR="00BC5CCB" w:rsidRPr="00EE68EF" w:rsidRDefault="00FF4236"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 </w:t>
      </w:r>
      <w:r w:rsidR="00BC5CCB" w:rsidRPr="00EE68EF">
        <w:rPr>
          <w:rFonts w:ascii="Times New Roman" w:eastAsia="Times New Roman" w:hAnsi="Times New Roman" w:cs="Times New Roman"/>
          <w:color w:val="000000" w:themeColor="text1"/>
          <w:sz w:val="28"/>
          <w:szCs w:val="28"/>
        </w:rPr>
        <w:t>Trong hoạt động kinh doanh, các doanh nghiệp có thể vay tiền lẫn nhau. Những hình thức vay của các doanh nghiệp được thể hiện dưới các hình thức như: mua hàng trả chậm, trả góp; vay có lãi; vay không có lãi.</w:t>
      </w:r>
    </w:p>
    <w:p w14:paraId="4CF0B9E5" w14:textId="77777777" w:rsidR="00FF4236" w:rsidRPr="00EE68EF" w:rsidRDefault="00B77087"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 </w:t>
      </w:r>
      <w:r w:rsidR="00BC5CCB" w:rsidRPr="00EE68EF">
        <w:rPr>
          <w:rFonts w:ascii="Times New Roman" w:eastAsia="Times New Roman" w:hAnsi="Times New Roman" w:cs="Times New Roman"/>
          <w:color w:val="000000" w:themeColor="text1"/>
          <w:sz w:val="28"/>
          <w:szCs w:val="28"/>
        </w:rPr>
        <w:t>Hình thức mua hàng trả chậm, trả góp là dạng tín dụng thương mại, sẽ được trình bày tại chuyên đề sau. Tại chuyên đề này tác giả chỉ để cấp đến hoạt động vay có lãi và vay không có lãi giữa các tổ chức, doanh nghiệp.</w:t>
      </w:r>
    </w:p>
    <w:p w14:paraId="238ACBB1" w14:textId="15917B7C"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color w:val="000000" w:themeColor="text1"/>
          <w:sz w:val="28"/>
          <w:szCs w:val="28"/>
        </w:rPr>
        <w:t>Đối với hoạt động cho vay có lãi, thì theo quy định lại điểm b khoản 8 Điều 4 Thông tư 219/2013/TT-BTC quy định về đối tượng không chịu thuế GTGT như sau</w:t>
      </w:r>
      <w:r w:rsidRPr="00EE68EF">
        <w:rPr>
          <w:rFonts w:ascii="Times New Roman" w:eastAsia="Times New Roman" w:hAnsi="Times New Roman" w:cs="Times New Roman"/>
          <w:i/>
          <w:iCs/>
          <w:color w:val="000000" w:themeColor="text1"/>
          <w:sz w:val="28"/>
          <w:szCs w:val="28"/>
          <w:bdr w:val="none" w:sz="0" w:space="0" w:color="auto" w:frame="1"/>
        </w:rPr>
        <w:t>: “Hoạt động cho vay riêng lẻ, không phải hoạt động kinh doanh, cung ứng thường xuyên của người nộp thuế không phải là tổ chức tín dụng”.</w:t>
      </w:r>
    </w:p>
    <w:p w14:paraId="454FA7EF" w14:textId="284755C2"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color w:val="000000" w:themeColor="text1"/>
          <w:sz w:val="28"/>
          <w:szCs w:val="28"/>
        </w:rPr>
        <w:t xml:space="preserve">Đối với hoạt động vay không có lãi, các doanh nghiệp có thể hỗ trợ nhau về vốn hoạt động, thông qua hợp đồng vay vốn không có lãi (lãi suất bằng 0). Việc cho vay này được thực hiện thông qua hợp đồng cho vay. Số tiền, thời gian vay, lãi suất, các quy định khác được thể hiện trong hợp đồng cho vay. Vì khoản vay không có lãi, nên được coi như khoản phải thu từ doanh nghiệp đi vay. Doanh nghiệp vay không hạch toán lãi vào chi phí kinh doanh, doanh nghiệp cho vay không có thu nhập về tài chính.Theo quy định trên, doanh nghiệp được dùng tiền nhàn rỗi của mình để cho doanh nghiệp khác vay. Việc cho vay được thực hiện thông qua một hợp đồng cho vay. Hợp đồng cho vay sẽ được quy định cụ thể số tiền, thời gian, cũng như lãi suất của khoản vay: Bên vay tiền được tính lãi vay vào chi phí sản xuất, còn bên cho vay thì được thu lãi tiền vay và coi như một khoản đầu tư tài chính.Điều </w:t>
      </w:r>
      <w:r w:rsidRPr="00EE68EF">
        <w:rPr>
          <w:rFonts w:ascii="Times New Roman" w:eastAsia="Times New Roman" w:hAnsi="Times New Roman" w:cs="Times New Roman"/>
          <w:color w:val="000000" w:themeColor="text1"/>
          <w:sz w:val="28"/>
          <w:szCs w:val="28"/>
        </w:rPr>
        <w:lastRenderedPageBreak/>
        <w:t>4 Thông tư 09/2015/TT-BTC có quy định về hình thức thanh toán trong giao dịch vay và cho vay giữa các Doanh nghiệp:</w:t>
      </w:r>
      <w:r w:rsidRPr="00EE68EF">
        <w:rPr>
          <w:rFonts w:ascii="Times New Roman" w:eastAsia="Times New Roman" w:hAnsi="Times New Roman" w:cs="Times New Roman"/>
          <w:i/>
          <w:iCs/>
          <w:color w:val="000000" w:themeColor="text1"/>
          <w:sz w:val="28"/>
          <w:szCs w:val="28"/>
          <w:bdr w:val="none" w:sz="0" w:space="0" w:color="auto" w:frame="1"/>
        </w:rPr>
        <w:t>“Hình thức thanh toán trong giao dịch vay, cho vay và trả nợ vay lẫn nhau giữa các Doanh nghiệp không phải là tổ chức tín dụng. Các Doanh nghiệp không phải tổ chức tín dụng (Là các Doanh nghiệp không thành lập, tổ chức và hoạt động theo quy định của Luật các tổ chức tín dụng) khi thực hiện các giao dịch vay, cho vay và trả nợ vay lẫn nhau sử dụng các hình thức thanh toán được quy định tại Khoản 2 Điều 3 Thông tư này.”</w:t>
      </w:r>
      <w:r w:rsidRPr="00EE68EF">
        <w:rPr>
          <w:rFonts w:ascii="Times New Roman" w:eastAsia="Times New Roman" w:hAnsi="Times New Roman" w:cs="Times New Roman"/>
          <w:color w:val="000000" w:themeColor="text1"/>
          <w:sz w:val="28"/>
          <w:szCs w:val="28"/>
        </w:rPr>
        <w:t>Vậy, Điều 3 của Thông tư 09/2015/TT-BTC đã quy định thế nào về hình thức giao dịch vay, cho vay và trả nợ lẫn nhau giữa các Doanh nghiệp không phải là tổ chức tín dụng. Đó là: </w:t>
      </w:r>
      <w:r w:rsidRPr="00EE68EF">
        <w:rPr>
          <w:rFonts w:ascii="Times New Roman" w:eastAsia="Times New Roman" w:hAnsi="Times New Roman" w:cs="Times New Roman"/>
          <w:i/>
          <w:iCs/>
          <w:color w:val="000000" w:themeColor="text1"/>
          <w:sz w:val="28"/>
          <w:szCs w:val="28"/>
          <w:bdr w:val="none" w:sz="0" w:space="0" w:color="auto" w:frame="1"/>
        </w:rPr>
        <w:t>Các doanh nghiệp không sử dụng tiền mặt (Tiền giấy, tiền kim loại do Ngân hàng Nhà nước phát hành) để thanh toán khi thực hiện các giao dịch góp vốn và mua bán, chuyển nhượng phần vốn góp vào Doanh nghiệp khác.Khi thực hiện giao dịch góp vốn và mua bán, chuyển nhượng phần vốn góp vào Doanh nghiệp khác, các Doanh nghiệp sử dụng các hình thức sau:Thanh toán bằng Séc;</w:t>
      </w:r>
    </w:p>
    <w:p w14:paraId="08EDA089" w14:textId="3F3AA552"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i/>
          <w:iCs/>
          <w:color w:val="000000" w:themeColor="text1"/>
          <w:sz w:val="28"/>
          <w:szCs w:val="28"/>
          <w:bdr w:val="none" w:sz="0" w:space="0" w:color="auto" w:frame="1"/>
        </w:rPr>
        <w:t>Thanh toán bằng Ủy nhiệm chi – Chuyển tiền;</w:t>
      </w:r>
    </w:p>
    <w:p w14:paraId="37388A93" w14:textId="3C7A3D76"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i/>
          <w:iCs/>
          <w:color w:val="000000" w:themeColor="text1"/>
          <w:sz w:val="28"/>
          <w:szCs w:val="28"/>
          <w:bdr w:val="none" w:sz="0" w:space="0" w:color="auto" w:frame="1"/>
        </w:rPr>
        <w:t>Các hình thức thanh toán không sử dụng tiền mặt phù hợp khác theo quy định hiện hành.Doanh nghiệp khi thực hiện giao dịch góp vốn và mua bán, chuyển nhượng phần vốn góp vào Doanh nghiệp khác bằng tài sản (Không phải bằng tiền) thực hiện theo quy định của pháp luật về Doanh nghiệp.”</w:t>
      </w:r>
    </w:p>
    <w:p w14:paraId="348226C8" w14:textId="38949D67"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theo quy định trên, hình thức thanh toán trong giao dịch vay, cho vay và trả nợ vay lẫn nhau giữa các Doanh nghiệp không phải là tổ chức tín dụng không dùng tiền mặt mà bao gồm các hình thức thanh toán:</w:t>
      </w:r>
    </w:p>
    <w:p w14:paraId="7D3ACF46" w14:textId="38674179"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Thanh toán bằng Séc.</w:t>
      </w:r>
    </w:p>
    <w:p w14:paraId="1D32A223" w14:textId="6C479C9D"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Thanh toán bằng Ủy nhiệm chi – Chuyển tiền.</w:t>
      </w:r>
    </w:p>
    <w:p w14:paraId="47841E1A" w14:textId="12503530"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hình thức thanh toán không sử dụng tiền mặt khác.</w:t>
      </w:r>
    </w:p>
    <w:p w14:paraId="7EA25C1D" w14:textId="2A15398C" w:rsidR="00FF4236"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w:t>
      </w:r>
      <w:hyperlink r:id="rId12" w:tgtFrame="_blank" w:history="1">
        <w:r w:rsidRPr="00EE68EF">
          <w:rPr>
            <w:rFonts w:ascii="Times New Roman" w:eastAsia="Times New Roman" w:hAnsi="Times New Roman" w:cs="Times New Roman"/>
            <w:color w:val="000000" w:themeColor="text1"/>
            <w:sz w:val="28"/>
            <w:szCs w:val="28"/>
            <w:bdr w:val="none" w:sz="0" w:space="0" w:color="auto" w:frame="1"/>
          </w:rPr>
          <w:t>Điều 3 Bộ luật Dân sự 2015</w:t>
        </w:r>
      </w:hyperlink>
      <w:r w:rsidRPr="00EE68EF">
        <w:rPr>
          <w:rFonts w:ascii="Times New Roman" w:eastAsia="Times New Roman" w:hAnsi="Times New Roman" w:cs="Times New Roman"/>
          <w:color w:val="000000" w:themeColor="text1"/>
          <w:sz w:val="28"/>
          <w:szCs w:val="28"/>
        </w:rPr>
        <w:t> quy định về nguyên tắc cơ bản của pháp luật dân sự như sau:</w:t>
      </w:r>
    </w:p>
    <w:p w14:paraId="6A128273" w14:textId="526CB2A4" w:rsidR="00CC3BE3"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 xml:space="preserve">Mọi cá nhân, pháp nhân đều bình đẳng, không được lấy bất kỳ lý do nào để phân biệt đối xử; được pháp luật bảo hộ như nhau về các quyền nhân thân và tài sản.2. Cá nhân, pháp nhân xác lập, thực hiện, chấm dứt quyền, nghĩa vụ dân sự của mình trên cơ sở tự do, tự nguyện cam kết, thỏa thuận. Mọi cam kết, thỏa thuận không vi phạm điều cấm của luật, không trái đạo đức xã hội có hiệu lực thực hiện đối với các bên và phải được chủ thể khác tôn trọng.3. Cá nhân, pháp nhân phải xác lập, </w:t>
      </w:r>
      <w:r w:rsidRPr="00EE68EF">
        <w:rPr>
          <w:rFonts w:ascii="Times New Roman" w:eastAsia="Times New Roman" w:hAnsi="Times New Roman" w:cs="Times New Roman"/>
          <w:i/>
          <w:iCs/>
          <w:color w:val="000000" w:themeColor="text1"/>
          <w:sz w:val="28"/>
          <w:szCs w:val="28"/>
          <w:bdr w:val="none" w:sz="0" w:space="0" w:color="auto" w:frame="1"/>
        </w:rPr>
        <w:lastRenderedPageBreak/>
        <w:t>thực hiện, chấm dứt quyền, nghĩa vụ dân sự của mình một cách thiện chí, trung thực.4. Việc xác lập, thực hiện, chấm dứt quyền, nghĩa vụ dân sự không được xâm phạm đến lợi ích quốc gia, dân tộc, lợi ích công cộng, quyền và lợi ích hợp pháp của người khác.5. Cá nhân, pháp nhân phải tự chịu trách nhiệm về việc không thực hiện hoặc thực hiện không đúng nghĩa vụ dân sự.</w:t>
      </w:r>
      <w:r w:rsidR="00337463">
        <w:rPr>
          <w:rFonts w:ascii="Times New Roman" w:eastAsia="Times New Roman" w:hAnsi="Times New Roman" w:cs="Times New Roman"/>
          <w:i/>
          <w:iCs/>
          <w:color w:val="000000" w:themeColor="text1"/>
          <w:sz w:val="28"/>
          <w:szCs w:val="28"/>
          <w:bdr w:val="none" w:sz="0" w:space="0" w:color="auto" w:frame="1"/>
        </w:rPr>
        <w:t xml:space="preserve"> </w:t>
      </w:r>
      <w:r w:rsidRPr="00EE68EF">
        <w:rPr>
          <w:rFonts w:ascii="Times New Roman" w:eastAsia="Times New Roman" w:hAnsi="Times New Roman" w:cs="Times New Roman"/>
          <w:color w:val="000000" w:themeColor="text1"/>
          <w:sz w:val="28"/>
          <w:szCs w:val="28"/>
        </w:rPr>
        <w:t>Theo quy định trên giữa các doanh nghiệp tư nhân có quyền tự do cam kết, thỏa thuận với nhau miễn không vi phạm điều cấm của luật, không trái đạo đức xã hội có hiệu lực thực hiện đối với các bên và phải được chủ thể khác tôn trọng.</w:t>
      </w:r>
      <w:r w:rsidR="005A1055"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Như vậy, doanh nghiệp tư nhân không phải </w:t>
      </w:r>
      <w:hyperlink r:id="rId13" w:tgtFrame="_blank" w:history="1">
        <w:r w:rsidRPr="00EE68EF">
          <w:rPr>
            <w:rFonts w:ascii="Times New Roman" w:eastAsia="Times New Roman" w:hAnsi="Times New Roman" w:cs="Times New Roman"/>
            <w:color w:val="000000" w:themeColor="text1"/>
            <w:sz w:val="28"/>
            <w:szCs w:val="28"/>
            <w:bdr w:val="none" w:sz="0" w:space="0" w:color="auto" w:frame="1"/>
          </w:rPr>
          <w:t>tổ chức tín dụng</w:t>
        </w:r>
      </w:hyperlink>
      <w:r w:rsidRPr="00EE68EF">
        <w:rPr>
          <w:rFonts w:ascii="Times New Roman" w:eastAsia="Times New Roman" w:hAnsi="Times New Roman" w:cs="Times New Roman"/>
          <w:color w:val="000000" w:themeColor="text1"/>
          <w:sz w:val="28"/>
          <w:szCs w:val="28"/>
        </w:rPr>
        <w:t> có thể cho doanh nghiệp khác vay vốn dựa trên sự thỏa thuận giữa hai bên thông qua hợp đồng vay tài sản và có công chứng chứng thực hợp đồng.</w:t>
      </w:r>
      <w:r w:rsidR="005A1055"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Doanh nghiệp vay vốn của các cá nhân, pháp nhân nói chung, của các tổ chức tín dụng nói riêng không bắt buộc phải có tài sản đảm bảo. Mặc dù  Luật các Tổ chức tín dụng năm 2010 (sửa đổi, bổ dung năm 2017) quy định </w:t>
      </w:r>
      <w:r w:rsidRPr="00EE68EF">
        <w:rPr>
          <w:rFonts w:ascii="Times New Roman" w:eastAsia="Times New Roman" w:hAnsi="Times New Roman" w:cs="Times New Roman"/>
          <w:i/>
          <w:iCs/>
          <w:color w:val="000000" w:themeColor="text1"/>
          <w:sz w:val="28"/>
          <w:szCs w:val="28"/>
          <w:bdr w:val="none" w:sz="0" w:space="0" w:color="auto" w:frame="1"/>
        </w:rPr>
        <w:t>“trước khi quyết định cấp tín dụng, tổ chức tín dụng phải yêu cầu khách hàng cung cấp một trong các điều kiện là biện pháp bảo đảm tiền vay”.</w:t>
      </w:r>
      <w:r w:rsidRPr="00EE68EF">
        <w:rPr>
          <w:rFonts w:ascii="Times New Roman" w:eastAsia="Times New Roman" w:hAnsi="Times New Roman" w:cs="Times New Roman"/>
          <w:color w:val="000000" w:themeColor="text1"/>
          <w:sz w:val="28"/>
          <w:szCs w:val="28"/>
        </w:rPr>
        <w:t> Tuy nhiên, có thể hiểu là cho vay không có tài sản bảo đảm (mà điển hình là tín chấp) cũng là một biện pháp bảo đảm tiền vay.</w:t>
      </w:r>
      <w:r w:rsidR="0002626B"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Doanh nghiệp cũng không bị giới hạn số vốn vay so với vốn điều lệ hay vốn chủ sở hữu, trừ đối với một số trường hợp như doanh nghiệp nhà nước, thì việc huy động vốn phục vụ sản xuất, kinh doanh phải đảm bảo tổng số nợ phải trả bao gồm các khoản bảo lãnh đối với công ty con không quá ba lần vốn chủ sở hữu của doanh nghiệp được ghi trên báo cáo tài chính quý hoặc báo cáo tài chính năm của doanh nghiệp tại thời điểm gần nhất với thời điểm huy động vốn. Trường hợp huy động vốn trên mức này và huy động vốn của tổ chức, cá nhân nước ngoài thì do đại diện chủ sở hữu xem xét, phê duyệtTại </w:t>
      </w:r>
      <w:hyperlink r:id="rId14" w:tgtFrame="_blank" w:history="1">
        <w:r w:rsidRPr="00EE68EF">
          <w:rPr>
            <w:rFonts w:ascii="Times New Roman" w:eastAsia="Times New Roman" w:hAnsi="Times New Roman" w:cs="Times New Roman"/>
            <w:color w:val="000000" w:themeColor="text1"/>
            <w:sz w:val="28"/>
            <w:szCs w:val="28"/>
            <w:bdr w:val="none" w:sz="0" w:space="0" w:color="auto" w:frame="1"/>
          </w:rPr>
          <w:t>Điều 463 Bộ luật Dân sự 2015</w:t>
        </w:r>
      </w:hyperlink>
      <w:r w:rsidRPr="00EE68EF">
        <w:rPr>
          <w:rFonts w:ascii="Times New Roman" w:eastAsia="Times New Roman" w:hAnsi="Times New Roman" w:cs="Times New Roman"/>
          <w:color w:val="000000" w:themeColor="text1"/>
          <w:sz w:val="28"/>
          <w:szCs w:val="28"/>
        </w:rPr>
        <w:t> quy định về hợp đồng vay tài sản như sau:</w:t>
      </w:r>
      <w:r w:rsidR="005A1055"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i/>
          <w:iCs/>
          <w:color w:val="000000" w:themeColor="text1"/>
          <w:sz w:val="28"/>
          <w:szCs w:val="28"/>
          <w:bdr w:val="none" w:sz="0" w:space="0" w:color="auto" w:frame="1"/>
        </w:rPr>
        <w:t>Hợp đồng vay tài sản là sự thỏa thuận giữa các bên, theo đó bên cho vay giao tài sản cho bên vay; khi đến hạn trả, bên vay phải hoàn trả cho bên cho vay tài sản cùng loại theo đúng số lượng, chất lượng và chỉ phải trả lãi nếu có thỏa thuận hoặc pháp luật có quy định.</w:t>
      </w:r>
      <w:r w:rsidR="00CC3BE3" w:rsidRPr="00EE68EF">
        <w:rPr>
          <w:rFonts w:ascii="Times New Roman" w:eastAsia="Times New Roman" w:hAnsi="Times New Roman" w:cs="Times New Roman"/>
          <w:i/>
          <w:iCs/>
          <w:color w:val="000000" w:themeColor="text1"/>
          <w:sz w:val="28"/>
          <w:szCs w:val="28"/>
          <w:bdr w:val="none" w:sz="0" w:space="0" w:color="auto" w:frame="1"/>
        </w:rPr>
        <w:t xml:space="preserve"> </w:t>
      </w:r>
      <w:r w:rsidRPr="00EE68EF">
        <w:rPr>
          <w:rFonts w:ascii="Times New Roman" w:eastAsia="Times New Roman" w:hAnsi="Times New Roman" w:cs="Times New Roman"/>
          <w:color w:val="000000" w:themeColor="text1"/>
          <w:sz w:val="28"/>
          <w:szCs w:val="28"/>
        </w:rPr>
        <w:t>Bộ luật dân sự 2015 quy định về việc cho vay tài sản giữa các bên. Theo đó không có quy định nào về điều kiện của các chủ thể vay và cho vay tài sản. Theo đó cá nhân hoàn toàn có thể cho công ty vay tài sản (tiền) nếu việc vay này được thực hiện phù hợp với các quy định của pháp luật về vay tài sản.Nghĩa vụ của doanh nghiệp cho vay và doanh nghiệp vay được thực hiện theo quy định tại Điều 465 và </w:t>
      </w:r>
      <w:hyperlink r:id="rId15" w:tgtFrame="_blank" w:history="1">
        <w:r w:rsidRPr="00EE68EF">
          <w:rPr>
            <w:rFonts w:ascii="Times New Roman" w:eastAsia="Times New Roman" w:hAnsi="Times New Roman" w:cs="Times New Roman"/>
            <w:color w:val="000000" w:themeColor="text1"/>
            <w:sz w:val="28"/>
            <w:szCs w:val="28"/>
            <w:bdr w:val="none" w:sz="0" w:space="0" w:color="auto" w:frame="1"/>
          </w:rPr>
          <w:t>Điều 466 Bộ luật Dân sự 2015</w:t>
        </w:r>
      </w:hyperlink>
      <w:r w:rsidRPr="00EE68EF">
        <w:rPr>
          <w:rFonts w:ascii="Times New Roman" w:eastAsia="Times New Roman" w:hAnsi="Times New Roman" w:cs="Times New Roman"/>
          <w:color w:val="000000" w:themeColor="text1"/>
          <w:sz w:val="28"/>
          <w:szCs w:val="28"/>
        </w:rPr>
        <w:t> như sau:</w:t>
      </w:r>
    </w:p>
    <w:p w14:paraId="5EDEB98E" w14:textId="77777777" w:rsidR="00CC3BE3"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i/>
          <w:iCs/>
          <w:color w:val="000000" w:themeColor="text1"/>
          <w:sz w:val="28"/>
          <w:szCs w:val="28"/>
          <w:bdr w:val="none" w:sz="0" w:space="0" w:color="auto" w:frame="1"/>
        </w:rPr>
        <w:lastRenderedPageBreak/>
        <w:t>* Nghĩa vụ của bên cho vay</w:t>
      </w:r>
    </w:p>
    <w:p w14:paraId="00F49D48" w14:textId="63235E1F" w:rsidR="008B0263"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Giao tài sản cho bên vay đầy đủ, đúng chất lượng, số lượng vào thời điểm và địa điểm đã thỏa thuận.- Bồi thường thiệt hại cho bên vay, nếu bên cho vay biết tài sản không bảo đảm chất lượng mà không báo cho bên vay biết, trừ trường hợp bên vay biết mà vẫn nhận tài sản đó.- Không được yêu cầu bên vay trả lại tài sản trước thời hạn, trừ trường hợp quy định tại Điều 470 Bộ luật này hoặc luật khác có liên quan quy định khác.</w:t>
      </w:r>
    </w:p>
    <w:p w14:paraId="6BC074AD" w14:textId="77777777" w:rsidR="008B0263"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i/>
          <w:iCs/>
          <w:color w:val="000000" w:themeColor="text1"/>
          <w:sz w:val="28"/>
          <w:szCs w:val="28"/>
          <w:bdr w:val="none" w:sz="0" w:space="0" w:color="auto" w:frame="1"/>
        </w:rPr>
      </w:pPr>
      <w:r w:rsidRPr="00EE68EF">
        <w:rPr>
          <w:rFonts w:ascii="Times New Roman" w:eastAsia="Times New Roman" w:hAnsi="Times New Roman" w:cs="Times New Roman"/>
          <w:i/>
          <w:iCs/>
          <w:color w:val="000000" w:themeColor="text1"/>
          <w:sz w:val="28"/>
          <w:szCs w:val="28"/>
          <w:bdr w:val="none" w:sz="0" w:space="0" w:color="auto" w:frame="1"/>
        </w:rPr>
        <w:t>* Nghĩa vụ trả nợ của bên vay</w:t>
      </w:r>
    </w:p>
    <w:p w14:paraId="526079E4" w14:textId="434290F9" w:rsidR="008B0263"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Bên vay tài sản là tiền thì phải trả đủ tiền khi đến hạn; nếu tài sản là vật thì phải trả vật cùng loại đúng số lượng, chất lượng, trừ trường hợp có thỏa thuận khác.</w:t>
      </w:r>
    </w:p>
    <w:p w14:paraId="780974F5"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Trường hợp bên vay không thể trả vật thì có thể trả bằng tiền theo trị giá của vật đã vay tại địa điểm và thời điểm trả nợ, nếu được bên cho vay đồng ý.</w:t>
      </w:r>
    </w:p>
    <w:p w14:paraId="23852B31" w14:textId="5148FC72"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Địa điểm trả nợ là nơi cư trú hoặc nơi đặt trụ sở của bên cho vay, trừ trường hợp có thỏa thuận khác.</w:t>
      </w:r>
    </w:p>
    <w:p w14:paraId="37FE0D0C"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Trường hợp vay không có lãi mà khi đến hạn bên vay không trả nợ hoặc trả không đầy đủ thì bên cho vay có quyền yêu cầu trả tiền lãi với mức lãi suất theo quy định tại khoản 2 Điều 468 của Bộ luật này trên số tiền chậm trả tương ứng với thời gian chậm trả, trừ trường hợp có thỏa thuận khác hoặc luật có quy định khác.</w:t>
      </w:r>
    </w:p>
    <w:p w14:paraId="2A8432AA" w14:textId="46D6C2DA"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Trường hợp vay có lãi mà khi đến hạn bên vay không trả hoặc trả không đầy đủ thì bên vay phải trả lãi như sau:</w:t>
      </w:r>
    </w:p>
    <w:p w14:paraId="150B92F1" w14:textId="46C2640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Lãi trên nợ gốc theo lãi suất thỏa thuận trong hợp đồng tương ứng với thời hạn vay mà đến hạn chưa trả; trường hợp chậm trả thì còn phải trả lãi theo mức lãi suất quy định tại khoản 2 Điều 468 Bộ luật này;</w:t>
      </w:r>
    </w:p>
    <w:p w14:paraId="3DE6338E"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Lãi trên nợ gốc quá hạn chưa trả bằng 150% lãi suất vay theo hợp đồng tương ứng với thời gian chậm trả, trừ trường hợp có thỏa thuận khác.Từ quy định trên thì bên cho vay giao tài sản cho bên vay; khi đến hạn trả, bên vay phải hoàn trả cho bên cho vay tài sản cùng loại theo đúng số lượng, chất lượng và chỉ phải trả lãi nếu có thỏa thuận hoặc pháp luật có quy định.</w:t>
      </w:r>
    </w:p>
    <w:p w14:paraId="205E3FD3"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Thủ tục hồ sơ vay tiền của doanh nghiệp khác:</w:t>
      </w:r>
    </w:p>
    <w:p w14:paraId="121893C7"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Hợp đồng vay tiền hoặc Biên bản vay mượn tiền;</w:t>
      </w:r>
    </w:p>
    <w:p w14:paraId="718A2314" w14:textId="5AC35173"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Chứng từ thanh toán qua ngân hàng;</w:t>
      </w:r>
    </w:p>
    <w:p w14:paraId="20A9913F"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 Hóa đơn chi phí lãi vayNhư vậy, trong quá trình hoạt động của mình, các doanh nghiệp sẽ liên tục phải huy động vốn để phù hợp với hoạt động kinh doanh </w:t>
      </w:r>
      <w:r w:rsidRPr="00EE68EF">
        <w:rPr>
          <w:rFonts w:ascii="Times New Roman" w:eastAsia="Times New Roman" w:hAnsi="Times New Roman" w:cs="Times New Roman"/>
          <w:color w:val="000000" w:themeColor="text1"/>
          <w:sz w:val="28"/>
          <w:szCs w:val="28"/>
        </w:rPr>
        <w:lastRenderedPageBreak/>
        <w:t>và quản trị công ty. Pháp luật hiện nay có phép doanh nghiệp huy động vốn theo nhiều cách khác nhau. Đối với hoạt động huy động vốn điều lệ, doanh nghiệp buộc phải tuân theo các quy định của pháp luật doanh nghiệp, pháp luật đầu tư, pháp luật chứng khoán và pháp luật có liên quan. Đối với hoạt động huy động vốn đầu tư, doanh nghiệp có thể linh hoạt hơn trong việc lựa chọn cách thức huy động vốn, có thể cùng lúc thực hiện nhiều các thức huy động vốn tuỳ thuộc vào nhu cầu hoạt động, kinh doanh của doanh nghiệp.</w:t>
      </w:r>
    </w:p>
    <w:p w14:paraId="1C474519" w14:textId="77777777" w:rsidR="008B0263"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b/>
          <w:bCs/>
          <w:color w:val="000000" w:themeColor="text1"/>
          <w:sz w:val="28"/>
          <w:szCs w:val="28"/>
          <w:bdr w:val="none" w:sz="0" w:space="0" w:color="auto" w:frame="1"/>
        </w:rPr>
      </w:pPr>
      <w:r w:rsidRPr="00EE68EF">
        <w:rPr>
          <w:rFonts w:ascii="Times New Roman" w:eastAsia="Times New Roman" w:hAnsi="Times New Roman" w:cs="Times New Roman"/>
          <w:b/>
          <w:bCs/>
          <w:color w:val="000000" w:themeColor="text1"/>
          <w:sz w:val="28"/>
          <w:szCs w:val="28"/>
          <w:bdr w:val="none" w:sz="0" w:space="0" w:color="auto" w:frame="1"/>
        </w:rPr>
        <w:t xml:space="preserve"> Doanh nghiệp huy động vốn bằng hình thức vay vốn của các cá nhân</w:t>
      </w:r>
    </w:p>
    <w:p w14:paraId="27131236" w14:textId="101AC8B4" w:rsidR="00BC5CCB" w:rsidRPr="00EE68EF" w:rsidRDefault="00BC5CCB" w:rsidP="00860487">
      <w:pPr>
        <w:pStyle w:val="ListParagraph"/>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Việc vay tiền giữa doanh nghiệp và cá nhân thì không bắt buộc về hình thức giao dịch mà có thể thực hiện bằng bất kỳ hình thức nào theo quy định pháp luật theo sự thoả thuận của các bên: dùng tiền mặt hoặc các hình thức chuyển khoản khác.</w:t>
      </w:r>
      <w:r w:rsidR="008B0263"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Doanh nghiệp vay vốn cá nhân thì sẽ không cần phải chuyển khoản tiền cho vay và trả nợ. Cá nhân có thể cho doanh nghiệp vay bằng tiền mặt và doanh nghiệp khi trả nợ cho cá nhân có thể dùng tiền mặt để trả nợ.Về vấn đề về lãi suất, căn cứ theo Khoản 1 điều 468 Bộ luật Dân sự 2015 có quy định theo đó lãi suất vay như sau:</w:t>
      </w:r>
      <w:r w:rsidRPr="00EE68EF">
        <w:rPr>
          <w:rFonts w:ascii="Times New Roman" w:eastAsia="Times New Roman" w:hAnsi="Times New Roman" w:cs="Times New Roman"/>
          <w:i/>
          <w:iCs/>
          <w:color w:val="000000" w:themeColor="text1"/>
          <w:sz w:val="28"/>
          <w:szCs w:val="28"/>
          <w:bdr w:val="none" w:sz="0" w:space="0" w:color="auto" w:frame="1"/>
        </w:rPr>
        <w:t>“1. </w:t>
      </w:r>
      <w:hyperlink r:id="rId16" w:history="1">
        <w:r w:rsidRPr="00EE68EF">
          <w:rPr>
            <w:rFonts w:ascii="Times New Roman" w:eastAsia="Times New Roman" w:hAnsi="Times New Roman" w:cs="Times New Roman"/>
            <w:i/>
            <w:iCs/>
            <w:color w:val="000000" w:themeColor="text1"/>
            <w:sz w:val="28"/>
            <w:szCs w:val="28"/>
            <w:bdr w:val="none" w:sz="0" w:space="0" w:color="auto" w:frame="1"/>
          </w:rPr>
          <w:t>Lãi suất vay</w:t>
        </w:r>
      </w:hyperlink>
      <w:r w:rsidRPr="00EE68EF">
        <w:rPr>
          <w:rFonts w:ascii="Times New Roman" w:eastAsia="Times New Roman" w:hAnsi="Times New Roman" w:cs="Times New Roman"/>
          <w:i/>
          <w:iCs/>
          <w:color w:val="000000" w:themeColor="text1"/>
          <w:sz w:val="28"/>
          <w:szCs w:val="28"/>
          <w:bdr w:val="none" w:sz="0" w:space="0" w:color="auto" w:frame="1"/>
        </w:rPr>
        <w:t> do các bên thỏa thuận.Trường hợp các bên có thỏa thuận về lãi suất thì lãi suất theo thỏa thuận không được vượt quá 20%/năm của khoản tiền vay, trừ trường hợp luật khác có liên quan quy định khác. Căn cứ tình hình thực tế và theo đề xuất của Chính phủ, Ủy ban thường vụ Quốc hội quyết định điều chỉnh mức lãi suất nói trên và báo cáo Quốc hội tại kỳ họp gần nhất.Trường hợp lãi suất theo thỏa thuận vượt quá lãi suất giới hạn được quy định tại khoản này thì mức lãi suất vượt quá không có hiệu lực.2. Trường hợp các bên có thỏa thuận về việc trả lãi, nhưng không xác định rõ lãi suất và có tranh chấp về lãi suất thì lãi suất được xác định bằng 50% mức lãi suất giới hạn quy định tại khoản 1 Điều này tại thời điểm trả nợ</w:t>
      </w:r>
      <w:r w:rsidR="0002626B" w:rsidRPr="00EE68EF">
        <w:rPr>
          <w:rFonts w:ascii="Times New Roman" w:eastAsia="Times New Roman" w:hAnsi="Times New Roman" w:cs="Times New Roman"/>
          <w:i/>
          <w:iCs/>
          <w:color w:val="000000" w:themeColor="text1"/>
          <w:sz w:val="28"/>
          <w:szCs w:val="28"/>
          <w:bdr w:val="none" w:sz="0" w:space="0" w:color="auto" w:frame="1"/>
        </w:rPr>
        <w:t>”</w:t>
      </w:r>
      <w:r w:rsidRPr="00EE68EF">
        <w:rPr>
          <w:rFonts w:ascii="Times New Roman" w:eastAsia="Times New Roman" w:hAnsi="Times New Roman" w:cs="Times New Roman"/>
          <w:i/>
          <w:iCs/>
          <w:color w:val="000000" w:themeColor="text1"/>
          <w:sz w:val="28"/>
          <w:szCs w:val="28"/>
          <w:bdr w:val="none" w:sz="0" w:space="0" w:color="auto" w:frame="1"/>
        </w:rPr>
        <w:t>.</w:t>
      </w:r>
      <w:r w:rsidR="008B0263" w:rsidRPr="00EE68EF">
        <w:rPr>
          <w:rFonts w:ascii="Times New Roman" w:eastAsia="Times New Roman" w:hAnsi="Times New Roman" w:cs="Times New Roman"/>
          <w:i/>
          <w:iCs/>
          <w:color w:val="000000" w:themeColor="text1"/>
          <w:sz w:val="28"/>
          <w:szCs w:val="28"/>
          <w:bdr w:val="none" w:sz="0" w:space="0" w:color="auto" w:frame="1"/>
        </w:rPr>
        <w:t xml:space="preserve"> </w:t>
      </w:r>
      <w:r w:rsidRPr="00EE68EF">
        <w:rPr>
          <w:rFonts w:ascii="Times New Roman" w:eastAsia="Times New Roman" w:hAnsi="Times New Roman" w:cs="Times New Roman"/>
          <w:color w:val="000000" w:themeColor="text1"/>
          <w:sz w:val="28"/>
          <w:szCs w:val="28"/>
        </w:rPr>
        <w:t xml:space="preserve">Như vậy, lãi suất cho vay sẽ do các bên tự thỏa thuận với nhau. Trường hợp các bên có sự thỏa thuận về lãi suất thì lãi suất theo thỏa thuận không được vượt quá mức 20%/năm của khoản tiền vay, trừ trường hợp luật khác có liên quan quy định khác. Trường hợp lãi suất theo sự thỏa thuận của các bên vượt quá lãi suất giới hạn được quy định trên thì mức lãi suất vượt quá không có hiệu lực.Theo quy định tại Luật Doanh nghiệp 2020, có nhiều loại hình doanh nghiệp được phép vay, cho vay, bán tài sản. Công ty bao gồm công ty hợp danh, công ty trách nhiệm hữu hạn (1 thành viên và 2 thành viên trở lên), công ty cổ phần. Các loại hình công ty đều có tư </w:t>
      </w:r>
      <w:r w:rsidRPr="00EE68EF">
        <w:rPr>
          <w:rFonts w:ascii="Times New Roman" w:eastAsia="Times New Roman" w:hAnsi="Times New Roman" w:cs="Times New Roman"/>
          <w:color w:val="000000" w:themeColor="text1"/>
          <w:sz w:val="28"/>
          <w:szCs w:val="28"/>
        </w:rPr>
        <w:lastRenderedPageBreak/>
        <w:t>cách pháp nhân theo quy định. Việc vay tiền cá nhân của các loại hình công ty có gì khác nhau?</w:t>
      </w:r>
    </w:p>
    <w:p w14:paraId="21AE7264" w14:textId="77777777" w:rsidR="00BC5CCB"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bCs/>
          <w:i/>
          <w:color w:val="000000" w:themeColor="text1"/>
          <w:sz w:val="28"/>
          <w:szCs w:val="28"/>
        </w:rPr>
      </w:pPr>
      <w:r w:rsidRPr="00EE68EF">
        <w:rPr>
          <w:rFonts w:ascii="Times New Roman" w:eastAsia="Times New Roman" w:hAnsi="Times New Roman" w:cs="Times New Roman"/>
          <w:bCs/>
          <w:i/>
          <w:color w:val="000000" w:themeColor="text1"/>
          <w:sz w:val="28"/>
          <w:szCs w:val="28"/>
        </w:rPr>
        <w:t>Công ty TNHH hai thành viên trở lên</w:t>
      </w:r>
    </w:p>
    <w:p w14:paraId="606F0F43" w14:textId="1427E634" w:rsidR="00122AD4"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Trường hợp Công ty TNHH hai thành viên trở lên vay tiền của cá nhân, giao dịch vay tiền giữa công ty với các cá nhân sau phải được Hội đồng thành viên chấp thuận:– Thành viên, người đại diện theo ủy quyền của thành viên, Giám đốc hoặc Tổng giám đốc, người đại diện theo pháp luật của công ty; Người có liên quan của những người này.– Người quản lý công ty mẹ, người có thẩm quyền bổ nhiệm người quản lý công ty mẹ; Người có liên quan của những người này.</w:t>
      </w:r>
    </w:p>
    <w:p w14:paraId="727267E9" w14:textId="77777777" w:rsidR="00122AD4"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Trong đó, người liên quan là cá nhân, tổ chức có quan hệ trực tiếp hoặc gián tiếp với doanh nghiệp trong các trường hợp nêu tại khoản 23 Điều 4 Luật Doanh nghiệp 2020.</w:t>
      </w:r>
    </w:p>
    <w:p w14:paraId="7F64E57A" w14:textId="5D934D21" w:rsidR="00122AD4"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Người quản lý và người đại diện theo pháp luật của công ty mẹ và người có thẩm quyền bổ nhiệm người quản lý của công ty mẹ;– Người quản lý và người đại diện theo pháp luật của công ty con;– Cá nhân hoặc nhóm cá nhân có khả năng chi phối hoạt động của doanh nghiệp đó thông qua sở hữu, thâu tóm cổ phần, phần vốn góp hoặc thông qua việc ra quyết định của công ty;</w:t>
      </w:r>
    </w:p>
    <w:p w14:paraId="3C6738D3" w14:textId="446D5AD6" w:rsidR="00BC5CC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shd w:val="clear" w:color="auto" w:fill="FFFFFF"/>
        </w:rPr>
        <w:t>– Người quản lý doanh nghiệp, người đại diện theo pháp luật, Kiểm soát viên;– Vợ, chồng, bố đẻ, mẹ đẻ, bố nuôi, mẹ nuôi, bố chồng, mẹ chồng, bố vợ, mẹ vợ, con đẻ, con nuôi, con rể, con dâu, anh ruột, chị ruột, em ruột, anh rể, em rể, chị dâu, em dâu của người quản lý công ty, người đại diện theo pháp luật, Kiểm soát viên, thành viên và cổ đông sở hữu phần vốn góp hay cổ phần chi phối;– Cá nhân là người đại diện theo ủy quyền của: công ty mẹ; công ty con; tổ chức hoặc nhóm tổ chức chi phối hoạt động của doanh nghiệp công ty. </w:t>
      </w:r>
    </w:p>
    <w:p w14:paraId="5EFBCFF7" w14:textId="77777777" w:rsidR="00BC5CCB"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bCs/>
          <w:i/>
          <w:color w:val="000000" w:themeColor="text1"/>
          <w:sz w:val="28"/>
          <w:szCs w:val="28"/>
        </w:rPr>
      </w:pPr>
      <w:r w:rsidRPr="00EE68EF">
        <w:rPr>
          <w:rFonts w:ascii="Times New Roman" w:eastAsia="Times New Roman" w:hAnsi="Times New Roman" w:cs="Times New Roman"/>
          <w:bCs/>
          <w:i/>
          <w:color w:val="000000" w:themeColor="text1"/>
          <w:sz w:val="28"/>
          <w:szCs w:val="28"/>
        </w:rPr>
        <w:t>Công ty TNHH một thành viên</w:t>
      </w:r>
    </w:p>
    <w:p w14:paraId="1154D8EA"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Đối với Công ty TNHH một thành viên do tổ chức làm chủ sở hữu, nếu Điều lệ công ty không có quy định gì khác, hợp đồng vay tiền của công ty với những người sau đây phải được Hội đồng thành viên hoặc Chủ tịch công ty, Giám đốc hoặc Tổng giám đốc và Kiểm soát viên chấp thuận:</w:t>
      </w:r>
    </w:p>
    <w:p w14:paraId="783A2324"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Chủ sở hữu công ty và người có liên quan của chủ sở hữu công ty;</w:t>
      </w:r>
    </w:p>
    <w:p w14:paraId="18246038"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Thành viên Hội đồng thành viên, Chủ tịch công ty, Giám đốc hoặc Tổng giám đốc và Kiểm soát viên; Người có liên quan của những người này;</w:t>
      </w:r>
    </w:p>
    <w:p w14:paraId="1359B89F"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lastRenderedPageBreak/>
        <w:t>– Người quản lý của chủ sở hữu công ty, người có thẩm quyền bổ nhiệm người quản lý đó; Người có liên quan của những người này;</w:t>
      </w:r>
    </w:p>
    <w:p w14:paraId="04C88CC8" w14:textId="1CCD8450"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Hợp đồng với những người nêu trên chỉ được chấp thuận khi có đủ các điều kiện sau đây:</w:t>
      </w:r>
    </w:p>
    <w:p w14:paraId="1C5D79ED"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Các bên ký kết hợp đồng hoặc thực hiện giao dịch là những chủ thể pháp lý độc lập, có quyền, nghĩa vụ, tài sản và lợi ích riêng biệt;</w:t>
      </w:r>
    </w:p>
    <w:p w14:paraId="345B8020"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Giá sử dụng trong hợp đồng hoặc giao dịch là giá thị trường tại thời điểm hợp đồng được ký kết hoặc giao dịch được thực hiện;</w:t>
      </w:r>
    </w:p>
    <w:p w14:paraId="7D662459" w14:textId="491B38B6" w:rsidR="00BC5CC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shd w:val="clear" w:color="auto" w:fill="FFFFFF"/>
        </w:rPr>
        <w:t>– Chủ sở hữu công ty tuân thủ đúng nghĩa vụ quy định tại khoản 4 Điều 77 của Luật Doanh nghiệp. </w:t>
      </w:r>
    </w:p>
    <w:p w14:paraId="528D6091" w14:textId="77777777" w:rsidR="00BC5CCB"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bCs/>
          <w:i/>
          <w:color w:val="000000" w:themeColor="text1"/>
          <w:sz w:val="28"/>
          <w:szCs w:val="28"/>
        </w:rPr>
      </w:pPr>
      <w:r w:rsidRPr="00EE68EF">
        <w:rPr>
          <w:rFonts w:ascii="Times New Roman" w:eastAsia="Times New Roman" w:hAnsi="Times New Roman" w:cs="Times New Roman"/>
          <w:bCs/>
          <w:i/>
          <w:color w:val="000000" w:themeColor="text1"/>
          <w:sz w:val="28"/>
          <w:szCs w:val="28"/>
        </w:rPr>
        <w:t>Công ty cổ phần </w:t>
      </w:r>
    </w:p>
    <w:p w14:paraId="543F6E74"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Đối với công ty cổ phần, việc vay tiền của công ty với các cá nhân sau cần phải được Đại hội đồng cổ đông hoặc Hội đồng quản trị chấp thuận:</w:t>
      </w:r>
    </w:p>
    <w:p w14:paraId="432EA887" w14:textId="77777777" w:rsidR="007E178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w:t>
      </w:r>
      <w:r w:rsidR="007E178B" w:rsidRPr="00EE68EF">
        <w:rPr>
          <w:rFonts w:ascii="Times New Roman" w:eastAsia="Times New Roman" w:hAnsi="Times New Roman" w:cs="Times New Roman"/>
          <w:color w:val="000000" w:themeColor="text1"/>
          <w:sz w:val="28"/>
          <w:szCs w:val="28"/>
          <w:shd w:val="clear" w:color="auto" w:fill="FFFFFF"/>
        </w:rPr>
        <w:t xml:space="preserve"> </w:t>
      </w:r>
      <w:r w:rsidRPr="00EE68EF">
        <w:rPr>
          <w:rFonts w:ascii="Times New Roman" w:eastAsia="Times New Roman" w:hAnsi="Times New Roman" w:cs="Times New Roman"/>
          <w:color w:val="000000" w:themeColor="text1"/>
          <w:sz w:val="28"/>
          <w:szCs w:val="28"/>
          <w:shd w:val="clear" w:color="auto" w:fill="FFFFFF"/>
        </w:rPr>
        <w:t>Cổ đông, người đại diện theo ủy quyền của cổ đông là tổ chức sở hữu trên 10% tổng số cổ phần phổ thông của công ty và người có liên quan của họ;</w:t>
      </w:r>
    </w:p>
    <w:p w14:paraId="14BE8CCB" w14:textId="4889B52F" w:rsidR="00BC5CCB"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shd w:val="clear" w:color="auto" w:fill="FFFFFF"/>
        </w:rPr>
        <w:t>– Thành viên Hội đồng quản trị, Giám đốc hoặc Tổng giám đốc và người có liên quan của họ.Hội đồng quản trị chấp thuận các hợp đồng vay có giá trị nhỏ hơn 35% tổng giá trị tài sản của doanh nghiệp ghi trong báo cáo tài chính gần nhất hoặc một tỷ lệ hoặc giá trị khác nhỏ hơn theo quy định tại Điều lệ công ty.</w:t>
      </w:r>
      <w:r w:rsidR="007E178B" w:rsidRPr="00EE68EF">
        <w:rPr>
          <w:rFonts w:ascii="Times New Roman" w:eastAsia="Times New Roman" w:hAnsi="Times New Roman" w:cs="Times New Roman"/>
          <w:color w:val="000000" w:themeColor="text1"/>
          <w:sz w:val="28"/>
          <w:szCs w:val="28"/>
          <w:shd w:val="clear" w:color="auto" w:fill="FFFFFF"/>
        </w:rPr>
        <w:t xml:space="preserve"> </w:t>
      </w:r>
      <w:r w:rsidRPr="00EE68EF">
        <w:rPr>
          <w:rFonts w:ascii="Times New Roman" w:eastAsia="Times New Roman" w:hAnsi="Times New Roman" w:cs="Times New Roman"/>
          <w:color w:val="000000" w:themeColor="text1"/>
          <w:sz w:val="28"/>
          <w:szCs w:val="28"/>
          <w:shd w:val="clear" w:color="auto" w:fill="FFFFFF"/>
        </w:rPr>
        <w:t>Đại hội đồng cổ đông chấp thuận các hợp đồng, giao dịch vay có giá trị lớn hơn 10% tổng giá trị tài sản của doanh nghiệp ghi trong báo cáo tài chính gần nhất giữa công ty và cổ đông sở hữu từ 51% tổng số cổ phần có quyền biểu quyết trở lên hoặc người có liên quan của cổ đông đó; Hợp đồng, giao dịch vay có giá trị từ 35% tổng giá trị tài sản của doanh nghiệp ghi trong báo cáo tài chính gần nhất hoặc một tỷ lệ hoặc giá trị khác tại Điều lệ công ty.</w:t>
      </w:r>
      <w:r w:rsidR="007E178B" w:rsidRPr="00EE68EF">
        <w:rPr>
          <w:rFonts w:ascii="Times New Roman" w:eastAsia="Times New Roman" w:hAnsi="Times New Roman" w:cs="Times New Roman"/>
          <w:color w:val="000000" w:themeColor="text1"/>
          <w:sz w:val="28"/>
          <w:szCs w:val="28"/>
          <w:shd w:val="clear" w:color="auto" w:fill="FFFFFF"/>
        </w:rPr>
        <w:t xml:space="preserve"> </w:t>
      </w:r>
      <w:r w:rsidRPr="00EE68EF">
        <w:rPr>
          <w:rFonts w:ascii="Times New Roman" w:eastAsia="Times New Roman" w:hAnsi="Times New Roman" w:cs="Times New Roman"/>
          <w:color w:val="000000" w:themeColor="text1"/>
          <w:sz w:val="28"/>
          <w:szCs w:val="28"/>
          <w:shd w:val="clear" w:color="auto" w:fill="FFFFFF"/>
        </w:rPr>
        <w:t>Nếu thuộc các trường hợp cần phải có sự chấp thuận của cơ quan có thẩm quyền tại công ty thì hợp đồng, giao dịch vay đó phải được cơ quan có thẩm quyền tại công ty chấp thuận</w:t>
      </w:r>
      <w:r w:rsidR="007E178B"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shd w:val="clear" w:color="auto" w:fill="FFFFFF"/>
        </w:rPr>
        <w:t>Luật thuế thu nhập doanh nghiệp năm 2008 (sửa đổi, bổ sung năm 2013, 2014) quy định, phần chi trả lãi tiền vay vốn sản xuất, kinh doanh của đối tượng không phải là tổ chức tín dụng, hoặc tổ chức kinh tế vượt quá 150% mức lãi suất cơ bản do Ngân hàng Nhà nước Việt Nam công bố tại thời điểm vay là khoản chi không được trừ khi xác định thu nhập chịu thuế</w:t>
      </w:r>
      <w:bookmarkStart w:id="4" w:name="_ftnref4"/>
      <w:r w:rsidRPr="00EE68EF">
        <w:rPr>
          <w:rFonts w:ascii="Times New Roman" w:eastAsia="Times New Roman" w:hAnsi="Times New Roman" w:cs="Times New Roman"/>
          <w:color w:val="000000" w:themeColor="text1"/>
          <w:sz w:val="28"/>
          <w:szCs w:val="28"/>
        </w:rPr>
        <w:fldChar w:fldCharType="begin"/>
      </w:r>
      <w:r w:rsidRPr="00EE68EF">
        <w:rPr>
          <w:rFonts w:ascii="Times New Roman" w:eastAsia="Times New Roman" w:hAnsi="Times New Roman" w:cs="Times New Roman"/>
          <w:color w:val="000000" w:themeColor="text1"/>
          <w:sz w:val="28"/>
          <w:szCs w:val="28"/>
        </w:rPr>
        <w:instrText xml:space="preserve"> HYPERLINK "https://htpldn.moj.gov.vn/Pages/chi-tiet-tin.aspx?ItemID=1907&amp;l=Nghiencuutraodoi" \l "_ftn4" \o "" </w:instrText>
      </w:r>
      <w:r w:rsidRPr="00EE68EF">
        <w:rPr>
          <w:rFonts w:ascii="Times New Roman" w:eastAsia="Times New Roman" w:hAnsi="Times New Roman" w:cs="Times New Roman"/>
          <w:color w:val="000000" w:themeColor="text1"/>
          <w:sz w:val="28"/>
          <w:szCs w:val="28"/>
        </w:rPr>
        <w:fldChar w:fldCharType="separate"/>
      </w:r>
      <w:r w:rsidR="007E178B" w:rsidRPr="00EE68EF">
        <w:rPr>
          <w:rFonts w:ascii="Times New Roman" w:eastAsia="Times New Roman" w:hAnsi="Times New Roman" w:cs="Times New Roman"/>
          <w:color w:val="000000" w:themeColor="text1"/>
          <w:sz w:val="28"/>
          <w:szCs w:val="28"/>
          <w:bdr w:val="none" w:sz="0" w:space="0" w:color="auto" w:frame="1"/>
          <w:shd w:val="clear" w:color="auto" w:fill="FFFFFF"/>
        </w:rPr>
        <w:t>.</w:t>
      </w:r>
      <w:r w:rsidRPr="00EE68EF">
        <w:rPr>
          <w:rFonts w:ascii="Times New Roman" w:eastAsia="Times New Roman" w:hAnsi="Times New Roman" w:cs="Times New Roman"/>
          <w:color w:val="000000" w:themeColor="text1"/>
          <w:sz w:val="28"/>
          <w:szCs w:val="28"/>
        </w:rPr>
        <w:fldChar w:fldCharType="end"/>
      </w:r>
      <w:bookmarkEnd w:id="4"/>
      <w:r w:rsidRPr="00EE68EF">
        <w:rPr>
          <w:rFonts w:ascii="Times New Roman" w:eastAsia="Times New Roman" w:hAnsi="Times New Roman" w:cs="Times New Roman"/>
          <w:color w:val="000000" w:themeColor="text1"/>
          <w:sz w:val="28"/>
          <w:szCs w:val="28"/>
          <w:shd w:val="clear" w:color="auto" w:fill="FFFFFF"/>
        </w:rPr>
        <w:t> </w:t>
      </w:r>
    </w:p>
    <w:p w14:paraId="6D2C13B9" w14:textId="4A201EF3" w:rsidR="00BC5CCB" w:rsidRPr="00EE68EF" w:rsidRDefault="00BC5CCB" w:rsidP="00860487">
      <w:pPr>
        <w:shd w:val="clear" w:color="auto" w:fill="FFFFFF"/>
        <w:spacing w:after="0" w:line="288" w:lineRule="auto"/>
        <w:ind w:firstLine="720"/>
        <w:jc w:val="both"/>
        <w:textAlignment w:val="baseline"/>
        <w:rPr>
          <w:rFonts w:ascii="Times New Roman" w:eastAsia="Times New Roman" w:hAnsi="Times New Roman" w:cs="Times New Roman"/>
          <w:bCs/>
          <w:color w:val="000000" w:themeColor="text1"/>
          <w:sz w:val="28"/>
          <w:szCs w:val="28"/>
        </w:rPr>
      </w:pPr>
      <w:bookmarkStart w:id="5" w:name="_Toc121845638"/>
      <w:r w:rsidRPr="00EE68EF">
        <w:rPr>
          <w:rFonts w:ascii="Times New Roman" w:eastAsia="Times New Roman" w:hAnsi="Times New Roman" w:cs="Times New Roman"/>
          <w:bCs/>
          <w:i/>
          <w:iCs/>
          <w:color w:val="000000" w:themeColor="text1"/>
          <w:sz w:val="28"/>
          <w:szCs w:val="28"/>
          <w:bdr w:val="none" w:sz="0" w:space="0" w:color="auto" w:frame="1"/>
        </w:rPr>
        <w:t>Thủ tục vay tiền giữa công ty và cá nhân</w:t>
      </w:r>
      <w:bookmarkEnd w:id="5"/>
    </w:p>
    <w:p w14:paraId="7B0FF1B5"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Các giấy tờ cần thiết và hồ sơ thủ tục khi công ty vay tiền cá nhân, bao gồm:</w:t>
      </w:r>
    </w:p>
    <w:p w14:paraId="2117E172"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lastRenderedPageBreak/>
        <w:t>– Hợp đồng vay mượn tiền giữa hai bên.</w:t>
      </w:r>
      <w:r w:rsidR="008B0263" w:rsidRPr="00EE68EF">
        <w:rPr>
          <w:rFonts w:ascii="Times New Roman" w:eastAsia="Times New Roman" w:hAnsi="Times New Roman" w:cs="Times New Roman"/>
          <w:color w:val="000000" w:themeColor="text1"/>
          <w:sz w:val="28"/>
          <w:szCs w:val="28"/>
          <w:shd w:val="clear" w:color="auto" w:fill="FFFFFF"/>
        </w:rPr>
        <w:t xml:space="preserve"> </w:t>
      </w:r>
      <w:r w:rsidRPr="00EE68EF">
        <w:rPr>
          <w:rFonts w:ascii="Times New Roman" w:eastAsia="Times New Roman" w:hAnsi="Times New Roman" w:cs="Times New Roman"/>
          <w:color w:val="000000" w:themeColor="text1"/>
          <w:sz w:val="28"/>
          <w:szCs w:val="28"/>
          <w:shd w:val="clear" w:color="auto" w:fill="FFFFFF"/>
        </w:rPr>
        <w:t>Doanh nghiệp và bên cho vay phải thỏa thuận với nhau ít nhất về số tiền vay, kỳ hạn và lãi suất. Thỏa thuận đó chính là hợp đồng vay. Về mặt nội dung, hợp đồng có thể bao gồm các nội dung sau:</w:t>
      </w:r>
    </w:p>
    <w:p w14:paraId="5E4AD974"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Đối tượng của hợp đồng;</w:t>
      </w:r>
    </w:p>
    <w:p w14:paraId="25DA887C"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Số lượng, chất lượng;</w:t>
      </w:r>
    </w:p>
    <w:p w14:paraId="2380BB74"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Giá, phương thức thanh toán;</w:t>
      </w:r>
    </w:p>
    <w:p w14:paraId="5F068864"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Thời hạn, địa điểm, phương thức thực hiện hợp đồng;</w:t>
      </w:r>
    </w:p>
    <w:p w14:paraId="7F962598"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Quyền, nghĩa vụ của các bên;</w:t>
      </w:r>
    </w:p>
    <w:p w14:paraId="69CE827A"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Trách nhiệm do vi phạm hợp đồng;</w:t>
      </w:r>
    </w:p>
    <w:p w14:paraId="1E4CA2E2"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Phương thức giải quyết tranh chấp.</w:t>
      </w:r>
    </w:p>
    <w:p w14:paraId="4CB228A6" w14:textId="77777777" w:rsidR="008B0263" w:rsidRPr="00EE68EF" w:rsidRDefault="00BC5CCB" w:rsidP="00860487">
      <w:pPr>
        <w:spacing w:after="0" w:line="288"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Pháp luật không có bất kỳ quy định nào bắt buộc về hình thức của hợp đồng này tuy nhiên các bên xét theo nhu cầu mà có thể lập hợp đồng thành văn bản và công chứng để đảm bảo căn cứ sau này khi phát sinh tranh chấp xảy ra.Nếu các bên có nhu cầu công chứng hay chứng thực hợp đồng vay tiền, các bên có thể </w:t>
      </w:r>
      <w:r w:rsidRPr="00EE68EF">
        <w:rPr>
          <w:rFonts w:ascii="Times New Roman" w:eastAsia="Times New Roman" w:hAnsi="Times New Roman" w:cs="Times New Roman"/>
          <w:bCs/>
          <w:color w:val="000000" w:themeColor="text1"/>
          <w:sz w:val="28"/>
          <w:szCs w:val="28"/>
          <w:bdr w:val="none" w:sz="0" w:space="0" w:color="auto" w:frame="1"/>
          <w:shd w:val="clear" w:color="auto" w:fill="FFFFFF"/>
        </w:rPr>
        <w:t>công chứng tại văn phòng công chứng hoặc phòng công chứng</w:t>
      </w:r>
      <w:r w:rsidRPr="00EE68EF">
        <w:rPr>
          <w:rFonts w:ascii="Times New Roman" w:eastAsia="Times New Roman" w:hAnsi="Times New Roman" w:cs="Times New Roman"/>
          <w:color w:val="000000" w:themeColor="text1"/>
          <w:sz w:val="28"/>
          <w:szCs w:val="28"/>
          <w:shd w:val="clear" w:color="auto" w:fill="FFFFFF"/>
        </w:rPr>
        <w:t> nơi gần nhất để thuận tiện. Cơ quan có thẩm quyền </w:t>
      </w:r>
      <w:r w:rsidRPr="00EE68EF">
        <w:rPr>
          <w:rFonts w:ascii="Times New Roman" w:eastAsia="Times New Roman" w:hAnsi="Times New Roman" w:cs="Times New Roman"/>
          <w:b/>
          <w:bCs/>
          <w:color w:val="000000" w:themeColor="text1"/>
          <w:sz w:val="28"/>
          <w:szCs w:val="28"/>
          <w:bdr w:val="none" w:sz="0" w:space="0" w:color="auto" w:frame="1"/>
          <w:shd w:val="clear" w:color="auto" w:fill="FFFFFF"/>
        </w:rPr>
        <w:t>c</w:t>
      </w:r>
      <w:r w:rsidRPr="00EE68EF">
        <w:rPr>
          <w:rFonts w:ascii="Times New Roman" w:eastAsia="Times New Roman" w:hAnsi="Times New Roman" w:cs="Times New Roman"/>
          <w:color w:val="000000" w:themeColor="text1"/>
          <w:sz w:val="28"/>
          <w:szCs w:val="28"/>
          <w:shd w:val="clear" w:color="auto" w:fill="FFFFFF"/>
        </w:rPr>
        <w:t>hứng thực hiện nay là Ủy ban nhân dân cấp xã (xã, phường, thị trấn) hoặc ủy ban nhân dân cấp huyện (quận, huyện, thị xã).</w:t>
      </w:r>
      <w:r w:rsidR="008B0263" w:rsidRPr="00EE68EF">
        <w:rPr>
          <w:rFonts w:ascii="Times New Roman" w:eastAsia="Times New Roman" w:hAnsi="Times New Roman" w:cs="Times New Roman"/>
          <w:color w:val="000000" w:themeColor="text1"/>
          <w:sz w:val="28"/>
          <w:szCs w:val="28"/>
          <w:shd w:val="clear" w:color="auto" w:fill="FFFFFF"/>
        </w:rPr>
        <w:t xml:space="preserve"> </w:t>
      </w:r>
      <w:r w:rsidRPr="00EE68EF">
        <w:rPr>
          <w:rFonts w:ascii="Times New Roman" w:eastAsia="Times New Roman" w:hAnsi="Times New Roman" w:cs="Times New Roman"/>
          <w:color w:val="000000" w:themeColor="text1"/>
          <w:sz w:val="28"/>
          <w:szCs w:val="28"/>
          <w:shd w:val="clear" w:color="auto" w:fill="FFFFFF"/>
        </w:rPr>
        <w:t>Nếu một bên chủ thể giao dịch trong hợp đồng vay tiền là người nước ngoài, người nước ngoài biết tiếng Việt, đọc, viết thành thạo tiếng Việt và có người làm chứng (người làm chứng độc lập với hai bên trong giao dịch, không bị cưỡng ép hay phụ thuộc vào một bên) thì không buộc phải công chứng hay phải dịch thuật.</w:t>
      </w:r>
    </w:p>
    <w:p w14:paraId="2A1CA7FC" w14:textId="77777777" w:rsidR="008B0263" w:rsidRPr="00EE68EF" w:rsidRDefault="00BC5CCB" w:rsidP="00B77087">
      <w:pPr>
        <w:spacing w:after="0" w:line="240"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Chứng minh thư/Căn cước công dân/ Hộ chiếu của cá nhân;</w:t>
      </w:r>
    </w:p>
    <w:p w14:paraId="4D41160C" w14:textId="77777777" w:rsidR="008B0263" w:rsidRPr="00EE68EF" w:rsidRDefault="00BC5CCB" w:rsidP="00B77087">
      <w:pPr>
        <w:spacing w:after="0" w:line="240"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Chứng từ thanh toán: Phiếu thu (đối với tiền mặt), Giấy báo có của ngân hàng (hình thức cho vay qua chuyển khoản)</w:t>
      </w:r>
    </w:p>
    <w:p w14:paraId="3AC4F150" w14:textId="7C6D0174" w:rsidR="008B0263" w:rsidRPr="00EE68EF" w:rsidRDefault="00BC5CCB" w:rsidP="00B77087">
      <w:pPr>
        <w:spacing w:after="0" w:line="240" w:lineRule="auto"/>
        <w:ind w:firstLine="720"/>
        <w:jc w:val="both"/>
        <w:rPr>
          <w:rFonts w:ascii="Times New Roman" w:eastAsia="Times New Roman" w:hAnsi="Times New Roman" w:cs="Times New Roman"/>
          <w:color w:val="000000" w:themeColor="text1"/>
          <w:sz w:val="28"/>
          <w:szCs w:val="28"/>
          <w:shd w:val="clear" w:color="auto" w:fill="FFFFFF"/>
        </w:rPr>
      </w:pPr>
      <w:r w:rsidRPr="00EE68EF">
        <w:rPr>
          <w:rFonts w:ascii="Times New Roman" w:eastAsia="Times New Roman" w:hAnsi="Times New Roman" w:cs="Times New Roman"/>
          <w:color w:val="000000" w:themeColor="text1"/>
          <w:sz w:val="28"/>
          <w:szCs w:val="28"/>
          <w:shd w:val="clear" w:color="auto" w:fill="FFFFFF"/>
        </w:rPr>
        <w:t>– Tờ khai thuế thu nhập cá nhân và chứng từ nộp tiền thuế thu nhập doanh nghiệp đối với khoản lãi vay (</w:t>
      </w:r>
      <w:r w:rsidR="00BE63A8" w:rsidRPr="00EE68EF">
        <w:rPr>
          <w:rFonts w:ascii="Times New Roman" w:eastAsia="Times New Roman" w:hAnsi="Times New Roman" w:cs="Times New Roman"/>
          <w:color w:val="000000" w:themeColor="text1"/>
          <w:sz w:val="28"/>
          <w:szCs w:val="28"/>
          <w:shd w:val="clear" w:color="auto" w:fill="FFFFFF"/>
        </w:rPr>
        <w:t>n</w:t>
      </w:r>
      <w:r w:rsidRPr="00EE68EF">
        <w:rPr>
          <w:rFonts w:ascii="Times New Roman" w:eastAsia="Times New Roman" w:hAnsi="Times New Roman" w:cs="Times New Roman"/>
          <w:color w:val="000000" w:themeColor="text1"/>
          <w:sz w:val="28"/>
          <w:szCs w:val="28"/>
          <w:shd w:val="clear" w:color="auto" w:fill="FFFFFF"/>
        </w:rPr>
        <w:t>ếu cá nhân cho vay có tính lãi).</w:t>
      </w:r>
    </w:p>
    <w:p w14:paraId="4EFD8117" w14:textId="54F7A014" w:rsidR="00BC5CCB" w:rsidRPr="00EE68EF" w:rsidRDefault="00BC5CCB" w:rsidP="00B77087">
      <w:pPr>
        <w:spacing w:after="0" w:line="240"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shd w:val="clear" w:color="auto" w:fill="FFFFFF"/>
        </w:rPr>
        <w:t>– Biên bản kiểm kê tiền mặt (kiểm đếm số lượng).Tóm lại, huy động vốn của doanh nghiệp là hoạt động vay vốn của doanh nghiệp từ các chủ thể khác trên thị trường nhằm bổ sung nguồn vốn kinh doanh (ngoài vốn chủ sở hữu) của doanh nghiệp. Nếu doanh nghiệp lựa chọn sai hình thức huy động vốn sẽ làm hạn chế cơ hội kinh doanh của công ty đồng thời làm tăng nguy cơ cao về nợ xấu của doanh nghiệp, vì vậy, đây là nội dung doanh nghiệp rất quan tâm trong giai đoạn hiện nay nhằm phục hồi, tài sản xuất giai đoạn hậu Covid-19.</w:t>
      </w:r>
    </w:p>
    <w:p w14:paraId="6E4E23F2" w14:textId="77777777" w:rsidR="00BC5CCB" w:rsidRPr="00EE68EF" w:rsidRDefault="00BC5CCB" w:rsidP="00B7708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w:t>
      </w:r>
    </w:p>
    <w:p w14:paraId="67691CBE" w14:textId="77777777" w:rsidR="00BC5CCB" w:rsidRPr="00EE68EF" w:rsidRDefault="00BC5CCB" w:rsidP="00021A86">
      <w:pPr>
        <w:shd w:val="clear" w:color="auto" w:fill="FFFFFF"/>
        <w:spacing w:line="288" w:lineRule="auto"/>
        <w:ind w:firstLine="576"/>
        <w:jc w:val="both"/>
        <w:outlineLvl w:val="0"/>
        <w:rPr>
          <w:rFonts w:ascii="Times New Roman" w:eastAsia="Times New Roman" w:hAnsi="Times New Roman" w:cs="Times New Roman"/>
          <w:b/>
          <w:bCs/>
          <w:color w:val="000000" w:themeColor="text1"/>
          <w:sz w:val="28"/>
          <w:szCs w:val="28"/>
          <w:bdr w:val="none" w:sz="0" w:space="0" w:color="auto" w:frame="1"/>
        </w:rPr>
        <w:sectPr w:rsidR="00BC5CCB" w:rsidRPr="00EE68EF">
          <w:pgSz w:w="12240" w:h="15840"/>
          <w:pgMar w:top="1440" w:right="1440" w:bottom="1440" w:left="1440" w:header="720" w:footer="720" w:gutter="0"/>
          <w:cols w:space="720"/>
          <w:docGrid w:linePitch="360"/>
        </w:sectPr>
      </w:pPr>
    </w:p>
    <w:p w14:paraId="227B8094" w14:textId="0F83C1C5" w:rsidR="001A1593" w:rsidRPr="00EE68EF" w:rsidRDefault="001A1593" w:rsidP="00860487">
      <w:pPr>
        <w:spacing w:after="0" w:line="288" w:lineRule="auto"/>
        <w:ind w:firstLine="720"/>
        <w:jc w:val="both"/>
        <w:rPr>
          <w:rFonts w:ascii="Times New Roman" w:eastAsia="Times New Roman" w:hAnsi="Times New Roman" w:cs="Times New Roman"/>
          <w:b/>
          <w:color w:val="000000" w:themeColor="text1"/>
          <w:sz w:val="28"/>
          <w:szCs w:val="28"/>
          <w:lang w:val="pt-BR"/>
        </w:rPr>
      </w:pPr>
      <w:r w:rsidRPr="00EE68EF">
        <w:rPr>
          <w:rFonts w:ascii="Times New Roman" w:eastAsia="Times New Roman" w:hAnsi="Times New Roman" w:cs="Times New Roman"/>
          <w:b/>
          <w:color w:val="000000" w:themeColor="text1"/>
          <w:sz w:val="28"/>
          <w:szCs w:val="28"/>
          <w:lang w:val="pt-BR"/>
        </w:rPr>
        <w:lastRenderedPageBreak/>
        <w:t xml:space="preserve">Tham luận 3: Thực trạng huy động vốn </w:t>
      </w:r>
      <w:r w:rsidRPr="00EE68EF">
        <w:rPr>
          <w:rFonts w:ascii="Times New Roman" w:eastAsia="Calibri" w:hAnsi="Times New Roman" w:cs="Times New Roman"/>
          <w:b/>
          <w:color w:val="000000" w:themeColor="text1"/>
          <w:spacing w:val="-6"/>
          <w:sz w:val="28"/>
          <w:szCs w:val="28"/>
          <w:lang w:val="pt-BR"/>
        </w:rPr>
        <w:t xml:space="preserve">của </w:t>
      </w:r>
      <w:r w:rsidRPr="00EE68EF">
        <w:rPr>
          <w:rFonts w:ascii="Times New Roman" w:eastAsia="Calibri" w:hAnsi="Times New Roman" w:cs="Times New Roman"/>
          <w:b/>
          <w:color w:val="000000" w:themeColor="text1"/>
          <w:sz w:val="28"/>
          <w:szCs w:val="28"/>
          <w:lang w:val="pt-BR"/>
        </w:rPr>
        <w:t>doanh nghiệp hiện nay</w:t>
      </w:r>
      <w:r w:rsidRPr="00EE68EF">
        <w:rPr>
          <w:rFonts w:ascii="Times New Roman" w:eastAsia="Times New Roman" w:hAnsi="Times New Roman" w:cs="Times New Roman"/>
          <w:b/>
          <w:color w:val="000000" w:themeColor="text1"/>
          <w:sz w:val="28"/>
          <w:szCs w:val="28"/>
          <w:lang w:val="pt-BR"/>
        </w:rPr>
        <w:t>, bài học kinh nghiệm</w:t>
      </w:r>
    </w:p>
    <w:p w14:paraId="41C2BB4F" w14:textId="1DE31F5C" w:rsidR="00D603FC" w:rsidRPr="000F249D" w:rsidRDefault="000F249D" w:rsidP="000F249D">
      <w:pPr>
        <w:pStyle w:val="NormalWeb"/>
        <w:shd w:val="clear" w:color="auto" w:fill="FFFFFF"/>
        <w:spacing w:before="0" w:beforeAutospacing="0" w:after="0" w:afterAutospacing="0" w:line="288" w:lineRule="auto"/>
        <w:ind w:firstLine="720"/>
        <w:jc w:val="right"/>
        <w:textAlignment w:val="baseline"/>
        <w:rPr>
          <w:b/>
          <w:i/>
          <w:iCs/>
          <w:color w:val="000000" w:themeColor="text1"/>
          <w:sz w:val="28"/>
          <w:szCs w:val="28"/>
          <w:bdr w:val="none" w:sz="0" w:space="0" w:color="auto" w:frame="1"/>
        </w:rPr>
      </w:pPr>
      <w:r w:rsidRPr="000F249D">
        <w:rPr>
          <w:b/>
          <w:bCs/>
          <w:i/>
          <w:color w:val="000000"/>
          <w:sz w:val="28"/>
          <w:szCs w:val="28"/>
          <w:shd w:val="clear" w:color="auto" w:fill="FFFFFF"/>
        </w:rPr>
        <w:t xml:space="preserve">- Ông Nguyễn Văn Đạt- </w:t>
      </w:r>
      <w:r w:rsidRPr="000F249D">
        <w:rPr>
          <w:b/>
          <w:i/>
          <w:iCs/>
          <w:color w:val="000000"/>
          <w:sz w:val="28"/>
          <w:szCs w:val="28"/>
          <w:lang w:val="vi-VN"/>
        </w:rPr>
        <w:t>Viện Nghi</w:t>
      </w:r>
      <w:r w:rsidRPr="000F249D">
        <w:rPr>
          <w:b/>
          <w:i/>
          <w:iCs/>
          <w:color w:val="000000"/>
          <w:sz w:val="28"/>
          <w:szCs w:val="28"/>
        </w:rPr>
        <w:t>ên c</w:t>
      </w:r>
      <w:r w:rsidRPr="000F249D">
        <w:rPr>
          <w:b/>
          <w:i/>
          <w:iCs/>
          <w:color w:val="000000"/>
          <w:sz w:val="28"/>
          <w:szCs w:val="28"/>
          <w:lang w:val="vi-VN"/>
        </w:rPr>
        <w:t>ứu Thị trường – Truyền th</w:t>
      </w:r>
      <w:r w:rsidRPr="000F249D">
        <w:rPr>
          <w:b/>
          <w:i/>
          <w:iCs/>
          <w:color w:val="000000"/>
          <w:sz w:val="28"/>
          <w:szCs w:val="28"/>
        </w:rPr>
        <w:t>ông Qu</w:t>
      </w:r>
      <w:r w:rsidRPr="000F249D">
        <w:rPr>
          <w:b/>
          <w:i/>
          <w:iCs/>
          <w:color w:val="000000"/>
          <w:sz w:val="28"/>
          <w:szCs w:val="28"/>
          <w:lang w:val="vi-VN"/>
        </w:rPr>
        <w:t>ốc tế (IMRIC)</w:t>
      </w:r>
    </w:p>
    <w:p w14:paraId="7DE4D8BA" w14:textId="1B2050A6" w:rsidR="001A1593" w:rsidRPr="00EE68EF" w:rsidRDefault="001A1593" w:rsidP="00860487">
      <w:pPr>
        <w:pStyle w:val="NormalWeb"/>
        <w:shd w:val="clear" w:color="auto" w:fill="FFFFFF"/>
        <w:spacing w:before="0" w:beforeAutospacing="0" w:after="0" w:afterAutospacing="0" w:line="288" w:lineRule="auto"/>
        <w:ind w:firstLine="720"/>
        <w:jc w:val="both"/>
        <w:textAlignment w:val="baseline"/>
        <w:rPr>
          <w:color w:val="000000" w:themeColor="text1"/>
          <w:sz w:val="28"/>
          <w:szCs w:val="28"/>
        </w:rPr>
      </w:pPr>
      <w:r w:rsidRPr="00EE68EF">
        <w:rPr>
          <w:iCs/>
          <w:color w:val="000000" w:themeColor="text1"/>
          <w:sz w:val="28"/>
          <w:szCs w:val="28"/>
          <w:bdr w:val="none" w:sz="0" w:space="0" w:color="auto" w:frame="1"/>
        </w:rPr>
        <w:t>Trong những năm vừa qua, lực lượng doanh nghiệp nhỏ và vừa đã không ngừng phát triển cả về số lượng và chất lượng, đóng góp 48% vào GDP cả nước và tạo ra 50% số lượng việc làm của toàn nền kinh tế. Tuy nhiên, bên cạnh những thành tựu đã đạt được, các doanh nghiệp nhỏ và vừa vẫn còn một số hạn chế nhất định như: trình độ công nghệ lạc hậu, mô hình quản trị doanh nghiệp còn yếu, năng suất lao động thấp, kém minh bạch về thông tin,... Những nhược điểm này phần nào đã hạn chế khả năng tiếp cận những nguồn vốn trên thị trường tài chính của các doanh nghiệp nhỏ và vừa như: phát hành chứng khoán, tìm kiếm nguồn vốn từ đối tác chiến lược, thu hút vốn từ các quỹ đầu tư... Theo số liệu thống kê, kênh tín dụng ngân hàng hiện vẫn là kênh cung ứng vốn chủ yếu, đặc biệt là nguồn vốn trung và dài hạn đáp ứng nhu cầu đầu tư mở rộng kinh doanh của các doanh nghiệp nhỏ và vừa. Điều này, một mặt, sẽ gây cản trở cho quá trình phát triển bền vững của các doanh nghiệp nhỏ và vừa, mặt khác, cũng gây ra những áp lực về thanh khoản cho hệ thống các tổ chức tín dụng. Vì vậy, trong bài viết này, tác giả tiến hành nghiên cứu thực trạng các kênh huy động vốn tại Việt Nam trong thời gian qua để từ đó đưa ra một số hàm ý chính sách nhằm nâng cao khả năng tiếp cận các nguồn vốn khác trên thị trường tài chính cho doanh nghiệp nhỏ và vừa thời gian sắp tới.</w:t>
      </w:r>
    </w:p>
    <w:p w14:paraId="462B2815" w14:textId="77777777" w:rsidR="006209C6"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Trong những năm vừa qua, lực lượng doanh nghiệp nhỏ và vừa (DNNVV) đã không ngừng phát triển cả về số lượng và chất lượng, đóng góp 48% vào GDP cả nước và tạo ra 50% số lượng việc làm của toàn nền kinh tế. Tuy nhiên, bên cạnh những thành tựu đã đạt được, các DNNVV vẫn còn một số hạn chế nhất định như: trình độ công nghệ lạc hậu, mô hình quản trị doanh nghiệp còn yếu, năng suất lao động thấp, kém minh bạch về thông tin,... Những nhược điểm này phần nào đã hạn chế khả năng tiếp cận những nguồn vốn trên thị trường tài chính của các DNNVV như: phát hành chứng khoán, tìm kiếm nguồn vốn từ đối tác chiến lược, thu hút vốn từ các quỹ đầu tư... Theo số liệu thống kê, kênh tín dụng ngân hàng hiện vẫn là kênh cung ứng vốn chủ yếu, đặc biệt là nguồn vốn trung và dài hạn đáp ứng nhu cầu đầu tư mở rộng kinh doanh của các DNNVV. Điều này, một mặt, sẽ gây cản trở cho quá </w:t>
      </w:r>
      <w:r w:rsidRPr="00EE68EF">
        <w:rPr>
          <w:rFonts w:ascii="Times New Roman" w:hAnsi="Times New Roman" w:cs="Times New Roman"/>
          <w:color w:val="000000" w:themeColor="text1"/>
          <w:sz w:val="28"/>
          <w:szCs w:val="28"/>
        </w:rPr>
        <w:lastRenderedPageBreak/>
        <w:t xml:space="preserve">trình phát triển bền vững của các DNNVV, mặt khác, cũng gây ra những áp lực về thanh khoản cho hệ thống các tổ chức tín dụng (TCTD). </w:t>
      </w:r>
    </w:p>
    <w:p w14:paraId="119478E1" w14:textId="504A1C43" w:rsidR="00C93C75" w:rsidRPr="00EE68EF" w:rsidRDefault="00C93C75" w:rsidP="00860487">
      <w:pPr>
        <w:pStyle w:val="ListParagraph"/>
        <w:spacing w:after="0" w:line="288" w:lineRule="auto"/>
        <w:ind w:left="0" w:firstLine="720"/>
        <w:jc w:val="both"/>
        <w:rPr>
          <w:rFonts w:ascii="Times New Roman" w:hAnsi="Times New Roman" w:cs="Times New Roman"/>
          <w:b/>
          <w:i/>
          <w:color w:val="000000" w:themeColor="text1"/>
          <w:sz w:val="28"/>
          <w:szCs w:val="28"/>
        </w:rPr>
      </w:pPr>
      <w:r w:rsidRPr="00EE68EF">
        <w:rPr>
          <w:rFonts w:ascii="Times New Roman" w:hAnsi="Times New Roman" w:cs="Times New Roman"/>
          <w:b/>
          <w:i/>
          <w:color w:val="000000" w:themeColor="text1"/>
          <w:sz w:val="28"/>
          <w:szCs w:val="28"/>
        </w:rPr>
        <w:t xml:space="preserve"> Thực trạng các kênh huy động vốn cho DNNVV tại Việt Nam</w:t>
      </w:r>
      <w:r w:rsidR="006209C6" w:rsidRPr="00EE68EF">
        <w:rPr>
          <w:rFonts w:ascii="Times New Roman" w:hAnsi="Times New Roman" w:cs="Times New Roman"/>
          <w:b/>
          <w:i/>
          <w:color w:val="000000" w:themeColor="text1"/>
          <w:sz w:val="28"/>
          <w:szCs w:val="28"/>
        </w:rPr>
        <w:t>:</w:t>
      </w:r>
    </w:p>
    <w:p w14:paraId="518B0051" w14:textId="1AA62A1D"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Một cách khái quát, vốn cung ứng cho các DNNVV thường được huy động thông qua hai kênh chủ yếu, đó là thông qua hệ thống các các TCTD và thông qua thị trường tài chính bằng cách phát hành cổ phiếu và trái phiếu ra công chúng. Tại các nền kinh tế phát triển, hệ thống TCTD sẽ đảm nhận vai trò cung ứng vốn ngắn hạn, trong khi đó, thị trường tài chính sẽ đảm nhận vai trò chủ đạo trong việc đáp ứng nhu cầu vốn trung và dài hạn. Tuy nhiên, theo số liệu thống kê, hiện nay, tại Việt Nam, vai trò huy động vốn cho nền kinh tế vẫn dựa chủ yếu vào hệ thống các TCTD là chính.</w:t>
      </w:r>
    </w:p>
    <w:p w14:paraId="5218A27C" w14:textId="54675997" w:rsidR="00C93C75" w:rsidRPr="00EE68EF" w:rsidRDefault="00C93C75" w:rsidP="00860487">
      <w:pPr>
        <w:pStyle w:val="ListParagraph"/>
        <w:spacing w:after="0" w:line="288" w:lineRule="auto"/>
        <w:ind w:left="0" w:firstLine="720"/>
        <w:jc w:val="both"/>
        <w:rPr>
          <w:rFonts w:ascii="Times New Roman" w:hAnsi="Times New Roman" w:cs="Times New Roman"/>
          <w:b/>
          <w:i/>
          <w:color w:val="000000" w:themeColor="text1"/>
          <w:sz w:val="28"/>
          <w:szCs w:val="28"/>
        </w:rPr>
      </w:pPr>
      <w:r w:rsidRPr="00EE68EF">
        <w:rPr>
          <w:rFonts w:ascii="Times New Roman" w:hAnsi="Times New Roman" w:cs="Times New Roman"/>
          <w:color w:val="000000" w:themeColor="text1"/>
          <w:sz w:val="28"/>
          <w:szCs w:val="28"/>
        </w:rPr>
        <w:t xml:space="preserve"> </w:t>
      </w:r>
      <w:r w:rsidRPr="00EE68EF">
        <w:rPr>
          <w:rFonts w:ascii="Times New Roman" w:hAnsi="Times New Roman" w:cs="Times New Roman"/>
          <w:b/>
          <w:i/>
          <w:color w:val="000000" w:themeColor="text1"/>
          <w:sz w:val="28"/>
          <w:szCs w:val="28"/>
        </w:rPr>
        <w:t xml:space="preserve">Nguyên nhân hạn chế khả năng tiếp cận các kênh huy động vốn từ thị trường tài chính của DNNVV </w:t>
      </w:r>
    </w:p>
    <w:p w14:paraId="24910A9C" w14:textId="2B6DFF79" w:rsidR="00C93C75" w:rsidRPr="00EE68EF" w:rsidRDefault="006209C6"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b/>
          <w:i/>
          <w:color w:val="000000" w:themeColor="text1"/>
          <w:sz w:val="28"/>
          <w:szCs w:val="28"/>
        </w:rPr>
        <w:t>Nguyên nhân 1:</w:t>
      </w:r>
      <w:r w:rsidR="00C93C75" w:rsidRPr="00EE68EF">
        <w:rPr>
          <w:rFonts w:ascii="Times New Roman" w:hAnsi="Times New Roman" w:cs="Times New Roman"/>
          <w:color w:val="000000" w:themeColor="text1"/>
          <w:sz w:val="28"/>
          <w:szCs w:val="28"/>
        </w:rPr>
        <w:t xml:space="preserve"> </w:t>
      </w:r>
      <w:r w:rsidR="00C93C75" w:rsidRPr="00EE68EF">
        <w:rPr>
          <w:rFonts w:ascii="Times New Roman" w:hAnsi="Times New Roman" w:cs="Times New Roman"/>
          <w:i/>
          <w:color w:val="000000" w:themeColor="text1"/>
          <w:sz w:val="28"/>
          <w:szCs w:val="28"/>
        </w:rPr>
        <w:t>Những yếu tố thuộc về nội tại của DNNVV</w:t>
      </w:r>
    </w:p>
    <w:p w14:paraId="16D24EA8" w14:textId="35FBB352"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Thứ nhất, đó là mức độ minh bạch thông tin của DNNVV là không đáp ứng được kỳ vọng của các nhà đầu tư trên thị trường tài chính. Một trong những điều kiện cần thiết, quan trọng nhất đối với DNNVV để những DN này có thể tiếp cận các kênh huy động vốn, kể cả vay TCTD cũng như phát hành chứng khoán huy động vốn, chính là mức độ minh bạch thông tin của DN. Hiện nay không phải cứ là DNNVV là khó vay vốn ngân hàng thương mại (NHTM).</w:t>
      </w:r>
      <w:r w:rsidR="007E178B" w:rsidRPr="00EE68EF">
        <w:rPr>
          <w:rFonts w:ascii="Times New Roman" w:hAnsi="Times New Roman" w:cs="Times New Roman"/>
          <w:color w:val="000000" w:themeColor="text1"/>
          <w:sz w:val="28"/>
          <w:szCs w:val="28"/>
        </w:rPr>
        <w:t xml:space="preserve"> </w:t>
      </w:r>
      <w:r w:rsidRPr="00EE68EF">
        <w:rPr>
          <w:rFonts w:ascii="Times New Roman" w:hAnsi="Times New Roman" w:cs="Times New Roman"/>
          <w:color w:val="000000" w:themeColor="text1"/>
          <w:sz w:val="28"/>
          <w:szCs w:val="28"/>
        </w:rPr>
        <w:t>Trên thực tế, những DNNVV mà chứng minh được năng lực tài chính, có phương án kinh doanh hiệu quả khả thi, minh bạch thông tin đều có thể dễ dàng vay vốn tại các TCTD. Ngược lại, những DNNVV chưa tạo được niềm tin nơi các TCTD mới gặp khó khăn khi vay vốn, bởi lẽ các TCTD cũng có những chuẩn mực cho vay riêng nhằm thực hiện công tác quản trị rủi trong hoạt động cho vay của mình.  Do đó, các DNNVV Việt Nam cần phải nhanh chóng thay đổi mô hình quản trị theo hướng minh bạch hoá, tự nguyện công bố thông tin doanh nghiệp, tự nguyện kiểm toán báo cáo tài chính định kỳ để nâng cao uy tín của mình với các TCTD, với các nhà đầu tư trên thị trường tài chính, từ đó có thể tiến hành nhiều hình thức huy động vốn khác nhau cho hoạt động SXKD của DNNVV.</w:t>
      </w:r>
    </w:p>
    <w:p w14:paraId="768A79E6" w14:textId="77777777"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Thứ hai, tuy các DNNVV đã có những bước phát triển mạnh trong thời gian vừa qua, nhưng nhìn chung, trình độ phát triển của các DNNVV là còn thấp. Do hạn chế về quy mô và nguồn vốn, nhiều DNNVV vẫn còn áp dụng công nghệ lạc hậu, </w:t>
      </w:r>
      <w:r w:rsidRPr="00EE68EF">
        <w:rPr>
          <w:rFonts w:ascii="Times New Roman" w:hAnsi="Times New Roman" w:cs="Times New Roman"/>
          <w:color w:val="000000" w:themeColor="text1"/>
          <w:sz w:val="28"/>
          <w:szCs w:val="28"/>
        </w:rPr>
        <w:lastRenderedPageBreak/>
        <w:t>trình độ quản trị kém, năng suất lao động thấp, chưa chú trọng đến công tác xây dựng thương hiệu, không quan tâm đến công tác truyền thông và quan hệ với các nhà đầu tư chứng khoán, chưa chú trọng đến công tác đa dạng hoá các nguồn vốn kinh doanh... Những yếu tố trên đã cộng hưởng và làm hạn chế cho năng lực cạnh tranh, khiến các DNNVV ít nhận được sự quan tâm đầu tư của các nhà đầu tư chứng khoán.</w:t>
      </w:r>
    </w:p>
    <w:p w14:paraId="18F584B2" w14:textId="1325BA53" w:rsidR="00C93C75" w:rsidRPr="00EE68EF" w:rsidRDefault="006209C6" w:rsidP="00860487">
      <w:pPr>
        <w:pStyle w:val="ListParagraph"/>
        <w:spacing w:after="0" w:line="288" w:lineRule="auto"/>
        <w:ind w:left="0" w:firstLine="720"/>
        <w:jc w:val="both"/>
        <w:rPr>
          <w:rFonts w:ascii="Times New Roman" w:hAnsi="Times New Roman" w:cs="Times New Roman"/>
          <w:i/>
          <w:color w:val="000000" w:themeColor="text1"/>
          <w:sz w:val="28"/>
          <w:szCs w:val="28"/>
        </w:rPr>
      </w:pPr>
      <w:r w:rsidRPr="00EE68EF">
        <w:rPr>
          <w:rFonts w:ascii="Times New Roman" w:hAnsi="Times New Roman" w:cs="Times New Roman"/>
          <w:b/>
          <w:i/>
          <w:color w:val="000000" w:themeColor="text1"/>
          <w:sz w:val="28"/>
          <w:szCs w:val="28"/>
        </w:rPr>
        <w:t>Nguyên nhân 2:</w:t>
      </w:r>
      <w:r w:rsidRPr="00EE68EF">
        <w:rPr>
          <w:rFonts w:ascii="Times New Roman" w:hAnsi="Times New Roman" w:cs="Times New Roman"/>
          <w:color w:val="000000" w:themeColor="text1"/>
          <w:sz w:val="28"/>
          <w:szCs w:val="28"/>
        </w:rPr>
        <w:t xml:space="preserve"> </w:t>
      </w:r>
      <w:r w:rsidR="00C93C75" w:rsidRPr="00EE68EF">
        <w:rPr>
          <w:rFonts w:ascii="Times New Roman" w:hAnsi="Times New Roman" w:cs="Times New Roman"/>
          <w:i/>
          <w:color w:val="000000" w:themeColor="text1"/>
          <w:sz w:val="28"/>
          <w:szCs w:val="28"/>
        </w:rPr>
        <w:t>Những yếu tố thuộc về cấu trúc và trình độ phát triển của thị trường tài chính Việt Nam</w:t>
      </w:r>
    </w:p>
    <w:p w14:paraId="2A81FC1A" w14:textId="0B7D05B6"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Thứ nhất, thị trường trái phiếu doanh nghiệp chưa phát triển. Thị trường Nợ của Việt Nam hiện nay chủ yếu vẫn là kênh tín dụng ngân hàng truyền thống, trong khi đó, một thị trường nợ quan trọng khác, thị trường trái phiếu doanh nghiệp, là chưa phát triển tương xứng với tiềm năng.</w:t>
      </w:r>
      <w:r w:rsidR="006209C6" w:rsidRPr="00EE68EF">
        <w:rPr>
          <w:rFonts w:ascii="Times New Roman" w:hAnsi="Times New Roman" w:cs="Times New Roman"/>
          <w:color w:val="000000" w:themeColor="text1"/>
          <w:sz w:val="28"/>
          <w:szCs w:val="28"/>
        </w:rPr>
        <w:t xml:space="preserve"> </w:t>
      </w:r>
      <w:r w:rsidRPr="00EE68EF">
        <w:rPr>
          <w:rFonts w:ascii="Times New Roman" w:hAnsi="Times New Roman" w:cs="Times New Roman"/>
          <w:color w:val="000000" w:themeColor="text1"/>
          <w:sz w:val="28"/>
          <w:szCs w:val="28"/>
        </w:rPr>
        <w:t>Từ năm 2015 đến 2018, số lượng trái phiếu DN được phát hành và niêm yết trên sở giao dịch chứng khoán (SGDCK) TP. Hồ Chí Minh chỉ tăng khiêm tốn từ 6 đến 26 loại trái phiếu DN và chủ yếu chỉ tập trung được phát hành bởi các DN lớn đang niêm yết. Nếu tính theo giá trị niêm yết, tính đến hết 2018, giá trị trái phiếu DN niêm yết chỉ đạt mức 32.671 tỷ VND, tức chỉ tương đương 0,45% tổng dư nợ cấp tín dụng toàn hệ thống TCTD. Điều này cho thấy hầu như các DNNVV không thể tiếp cận được nguồn vốn trung dài hạn thông qua việc phát hành trái phiếu DN. Một số lý do có thể giải thích cho sự kém phát triển của thị trường trái phiếu DN có thể kể đến như sau: (1) vấn đề về minh bạch thông tin của DNNVV như đã phân tích; (2) các DNNVV Việt Nam chưa đáp ứng được những điều kiện về phát hành và niêm yết trái phiếu theo quy định pháp luật và (3) sự thiếu vắng của các tổ chức xếp hạng tín nhiệm độc lập trên thị trường tài chính Việt Nam.</w:t>
      </w:r>
    </w:p>
    <w:p w14:paraId="44ED405C" w14:textId="77777777"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Thứ hai, sự kém phát triển của các định chế tài chính trung gian phi ngân hàng. Kinh nghiệm tại các thị trường phát triển trên thế giới cho thấy, để phát huy tối đa vai trò huy động vốn của thị trường tài chính thì hệ thống các định chế tài chính phải hoàn thiện và phát triển đa dạng để làm cầu nối giữa bên cung vốn - những nhà đầu tư có vốn nhà rỗi và bên cầu vốn - tức các doanh nghiệp cần vốn cho quá trình sản xuất kinh doanh. Một hệ thống các định chế tài chính phát triển hoàn thiện phải bao gồm: hệ thống các NHTM, hệ thống các định chế tài chính phi ngân hàng như: Ngân hàng đầu tư, công ty chứng khoán, các loại hình quỹ hưu trí, quỹ đầu tư mạo hiểm, quỹ đầu tư khởi nghiệp,... Liên hệ thực tế tại Việt Nam thì hiện chỉ có hệ thống các TCTD là đang làm tốt vai trò huy động vốn của mình. Trong khi đó, các loại hình </w:t>
      </w:r>
      <w:r w:rsidRPr="00EE68EF">
        <w:rPr>
          <w:rFonts w:ascii="Times New Roman" w:hAnsi="Times New Roman" w:cs="Times New Roman"/>
          <w:color w:val="000000" w:themeColor="text1"/>
          <w:sz w:val="28"/>
          <w:szCs w:val="28"/>
        </w:rPr>
        <w:lastRenderedPageBreak/>
        <w:t>định chế tài chính trung gian khác còn phát triển chậm, phạm vi và quy mô hoạt động vẫn còn nhỏ và chủ yếu chỉ tập trung vào các DN lớn đang niêm yết. Điều này phần nào cũng ảnh hưởng đến khả năng đa dạng hoá các kênh huy động vốn của phần lớn các DNNVV.</w:t>
      </w:r>
    </w:p>
    <w:p w14:paraId="6DC83B28" w14:textId="65B23CEF" w:rsidR="00C93C75" w:rsidRPr="00EE68EF" w:rsidRDefault="00C93C75" w:rsidP="00860487">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Thứ ba, sự đa dạng và quy mô vốn của các nhà đầu tư tổ chức tại Việt Nam là còn thấp. Các nhà đầu tư tổ chức, mà cụ thể là những loại hình quỹ đầu tư, thường phát triển rất mạnh, kể cả về chủng loại và quy mô vốn, tại các quốc gia phát triển. Đây là lực lượng rất quan trọng góp phần thu hút nguồn vốn nhàn rỗi từ các nhà đầu tư nhỏ lẻ, các nhà đầu tư không chuyên nghiệp, và từ nhiều tầng lớp dân cư trong xã hội. Quá trình này sẽ tạo vốn cho các quỹ đầu tư, những nhà đầu tư chuyên nghiệp, tiến hành hoạt đầu tư cho các DNNVV - nơi có dư địa tăng trưởng rất cao trong nền kinh tế tại các quốc gia. Tuy nhiên, dữ liệu tại Việt Nam cho thấy số lượng, chủng loại và quy mô vốn hoạt động của các quỹ đầu tư hiện vẫn còn rất khiêm tốn. Tính đến cuối tháng 2/2019, hiện cả thị trường chứng khoán Việt Nam mới chỉ có 41 quỹ đầu tư đang hoạt động với quy mô giá trị tài sản ròng NAV là 24.399 tỷ đồng, một con số khá kiêm tốn so với mức vốn hoá của thị trường chứng khoán Việt Nam và so với tổng dư nợ tín dụng của toàn hệ thống TCTD .</w:t>
      </w:r>
    </w:p>
    <w:p w14:paraId="016FF834" w14:textId="77777777"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4C822581" w14:textId="77777777"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02A7A5FA" w14:textId="77777777"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623318F9" w14:textId="77777777"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2DDB5BD0" w14:textId="77777777"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56DAB7C9" w14:textId="34CCC6DA"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2EF559C9" w14:textId="4191FCDE"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189EA013" w14:textId="186FC110"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124E3338" w14:textId="77777777"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4ADC0909" w14:textId="5D0FABDB" w:rsidR="00860487" w:rsidRPr="00EE68EF" w:rsidRDefault="00860487"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3D40D975" w14:textId="7BE342BB"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5883E8FB" w14:textId="578DD87F"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76097BA3" w14:textId="252270D8"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354FDF51" w14:textId="77777777" w:rsidR="00167B45" w:rsidRPr="00EE68EF" w:rsidRDefault="00167B45"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76F63445" w14:textId="5E402D1B"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5F0F5054" w14:textId="69899974" w:rsidR="00CC3BE3" w:rsidRPr="00EE68EF" w:rsidRDefault="00CC3BE3" w:rsidP="00021A86">
      <w:pPr>
        <w:pStyle w:val="ListParagraph"/>
        <w:spacing w:after="0" w:line="288" w:lineRule="auto"/>
        <w:ind w:left="936"/>
        <w:jc w:val="both"/>
        <w:rPr>
          <w:rFonts w:ascii="Times New Roman" w:eastAsia="Times New Roman" w:hAnsi="Times New Roman" w:cs="Times New Roman"/>
          <w:b/>
          <w:color w:val="000000" w:themeColor="text1"/>
          <w:sz w:val="28"/>
          <w:szCs w:val="28"/>
          <w:lang w:val="pt-BR"/>
        </w:rPr>
      </w:pPr>
    </w:p>
    <w:p w14:paraId="391B849D" w14:textId="568692CB" w:rsidR="001A1593" w:rsidRPr="00EE68EF" w:rsidRDefault="001A1593" w:rsidP="0064552F">
      <w:pPr>
        <w:pStyle w:val="ListParagraph"/>
        <w:spacing w:after="0" w:line="288" w:lineRule="auto"/>
        <w:ind w:left="0" w:firstLine="720"/>
        <w:jc w:val="both"/>
        <w:rPr>
          <w:rFonts w:ascii="Times New Roman" w:eastAsia="Calibri" w:hAnsi="Times New Roman" w:cs="Times New Roman"/>
          <w:b/>
          <w:i/>
          <w:color w:val="000000" w:themeColor="text1"/>
          <w:sz w:val="28"/>
          <w:szCs w:val="28"/>
          <w:lang w:val="pt-BR"/>
        </w:rPr>
      </w:pPr>
      <w:r w:rsidRPr="00EE68EF">
        <w:rPr>
          <w:rFonts w:ascii="Times New Roman" w:eastAsia="Times New Roman" w:hAnsi="Times New Roman" w:cs="Times New Roman"/>
          <w:b/>
          <w:color w:val="000000" w:themeColor="text1"/>
          <w:sz w:val="28"/>
          <w:szCs w:val="28"/>
          <w:lang w:val="pt-BR"/>
        </w:rPr>
        <w:lastRenderedPageBreak/>
        <w:t xml:space="preserve">Tham luận 4: Giải pháp huy động vốn </w:t>
      </w:r>
      <w:r w:rsidRPr="00EE68EF">
        <w:rPr>
          <w:rFonts w:ascii="Times New Roman" w:eastAsia="Calibri" w:hAnsi="Times New Roman" w:cs="Times New Roman"/>
          <w:b/>
          <w:color w:val="000000" w:themeColor="text1"/>
          <w:spacing w:val="-6"/>
          <w:sz w:val="28"/>
          <w:szCs w:val="28"/>
          <w:lang w:val="pt-BR"/>
        </w:rPr>
        <w:t xml:space="preserve">cho </w:t>
      </w:r>
      <w:r w:rsidRPr="00EE68EF">
        <w:rPr>
          <w:rFonts w:ascii="Times New Roman" w:eastAsia="Calibri" w:hAnsi="Times New Roman" w:cs="Times New Roman"/>
          <w:b/>
          <w:color w:val="000000" w:themeColor="text1"/>
          <w:sz w:val="28"/>
          <w:szCs w:val="28"/>
          <w:lang w:val="pt-BR"/>
        </w:rPr>
        <w:t>doanh nghiệp trong bối cảnh phục hồi và phát triển</w:t>
      </w:r>
    </w:p>
    <w:p w14:paraId="3E97DA9D" w14:textId="6CEFFB8D" w:rsidR="00D603FC" w:rsidRPr="00EE68EF" w:rsidRDefault="00A84FCF" w:rsidP="00D603FC">
      <w:pPr>
        <w:shd w:val="clear" w:color="auto" w:fill="FBFBFB"/>
        <w:spacing w:after="0" w:line="288" w:lineRule="auto"/>
        <w:ind w:firstLine="720"/>
        <w:jc w:val="right"/>
        <w:outlineLvl w:val="2"/>
        <w:rPr>
          <w:rFonts w:ascii="Times New Roman" w:hAnsi="Times New Roman"/>
          <w:b/>
          <w:i/>
          <w:iCs/>
          <w:color w:val="000000" w:themeColor="text1"/>
          <w:sz w:val="28"/>
          <w:szCs w:val="28"/>
          <w:lang w:val="vi-VN"/>
        </w:rPr>
      </w:pPr>
      <w:r>
        <w:rPr>
          <w:rFonts w:ascii="Times New Roman" w:hAnsi="Times New Roman"/>
          <w:b/>
          <w:i/>
          <w:iCs/>
          <w:color w:val="000000" w:themeColor="text1"/>
          <w:sz w:val="28"/>
          <w:szCs w:val="28"/>
        </w:rPr>
        <w:t>Luật sư Hồ Minh Sơn</w:t>
      </w:r>
      <w:r w:rsidR="00D603FC" w:rsidRPr="00EE68EF">
        <w:rPr>
          <w:rFonts w:ascii="Times New Roman" w:hAnsi="Times New Roman"/>
          <w:b/>
          <w:i/>
          <w:iCs/>
          <w:color w:val="000000" w:themeColor="text1"/>
          <w:sz w:val="28"/>
          <w:szCs w:val="28"/>
          <w:lang w:val="vi-VN"/>
        </w:rPr>
        <w:t xml:space="preserve"> – Viện trưởng Viện Nghi</w:t>
      </w:r>
      <w:r w:rsidR="00D603FC" w:rsidRPr="00EE68EF">
        <w:rPr>
          <w:rFonts w:ascii="Times New Roman" w:hAnsi="Times New Roman"/>
          <w:b/>
          <w:i/>
          <w:iCs/>
          <w:color w:val="000000" w:themeColor="text1"/>
          <w:sz w:val="28"/>
          <w:szCs w:val="28"/>
        </w:rPr>
        <w:t>ên c</w:t>
      </w:r>
      <w:r w:rsidR="00D603FC" w:rsidRPr="00EE68EF">
        <w:rPr>
          <w:rFonts w:ascii="Times New Roman" w:hAnsi="Times New Roman"/>
          <w:b/>
          <w:i/>
          <w:iCs/>
          <w:color w:val="000000" w:themeColor="text1"/>
          <w:sz w:val="28"/>
          <w:szCs w:val="28"/>
          <w:lang w:val="vi-VN"/>
        </w:rPr>
        <w:t xml:space="preserve">ứu Thị trường </w:t>
      </w:r>
    </w:p>
    <w:p w14:paraId="4CAC6EAB" w14:textId="0E1E61BA" w:rsidR="00D603FC" w:rsidRPr="00EE68EF" w:rsidRDefault="00D603FC" w:rsidP="00D603FC">
      <w:pPr>
        <w:shd w:val="clear" w:color="auto" w:fill="FBFBFB"/>
        <w:spacing w:after="0" w:line="288" w:lineRule="auto"/>
        <w:ind w:firstLine="720"/>
        <w:jc w:val="right"/>
        <w:outlineLvl w:val="2"/>
        <w:rPr>
          <w:rFonts w:ascii="Times New Roman" w:hAnsi="Times New Roman"/>
          <w:b/>
          <w:i/>
          <w:iCs/>
          <w:color w:val="000000" w:themeColor="text1"/>
          <w:sz w:val="28"/>
          <w:szCs w:val="28"/>
          <w:lang w:val="vi-VN"/>
        </w:rPr>
      </w:pPr>
      <w:r w:rsidRPr="00EE68EF">
        <w:rPr>
          <w:rFonts w:ascii="Times New Roman" w:hAnsi="Times New Roman"/>
          <w:b/>
          <w:i/>
          <w:iCs/>
          <w:color w:val="000000" w:themeColor="text1"/>
          <w:sz w:val="28"/>
          <w:szCs w:val="28"/>
          <w:lang w:val="vi-VN"/>
        </w:rPr>
        <w:t>– Truyền th</w:t>
      </w:r>
      <w:r w:rsidRPr="00EE68EF">
        <w:rPr>
          <w:rFonts w:ascii="Times New Roman" w:hAnsi="Times New Roman"/>
          <w:b/>
          <w:i/>
          <w:iCs/>
          <w:color w:val="000000" w:themeColor="text1"/>
          <w:sz w:val="28"/>
          <w:szCs w:val="28"/>
        </w:rPr>
        <w:t>ông Qu</w:t>
      </w:r>
      <w:r w:rsidRPr="00EE68EF">
        <w:rPr>
          <w:rFonts w:ascii="Times New Roman" w:hAnsi="Times New Roman"/>
          <w:b/>
          <w:i/>
          <w:iCs/>
          <w:color w:val="000000" w:themeColor="text1"/>
          <w:sz w:val="28"/>
          <w:szCs w:val="28"/>
          <w:lang w:val="vi-VN"/>
        </w:rPr>
        <w:t>ốc tế (IMRIC)</w:t>
      </w:r>
    </w:p>
    <w:p w14:paraId="415C14E1" w14:textId="77777777" w:rsidR="00D603FC" w:rsidRPr="00EE68EF" w:rsidRDefault="00D603FC" w:rsidP="00167B45">
      <w:pPr>
        <w:shd w:val="clear" w:color="auto" w:fill="FBFBFB"/>
        <w:spacing w:after="0" w:line="288" w:lineRule="auto"/>
        <w:ind w:firstLine="720"/>
        <w:jc w:val="both"/>
        <w:outlineLvl w:val="2"/>
        <w:rPr>
          <w:rFonts w:ascii="Times New Roman" w:eastAsia="Times New Roman" w:hAnsi="Times New Roman" w:cs="Times New Roman"/>
          <w:b/>
          <w:bCs/>
          <w:color w:val="000000" w:themeColor="text1"/>
          <w:sz w:val="28"/>
          <w:szCs w:val="28"/>
        </w:rPr>
      </w:pPr>
    </w:p>
    <w:p w14:paraId="591EEFDC" w14:textId="62AA7BCB" w:rsidR="00167B45" w:rsidRPr="00EE68EF" w:rsidRDefault="00167B45" w:rsidP="00167B45">
      <w:pPr>
        <w:shd w:val="clear" w:color="auto" w:fill="FBFBFB"/>
        <w:spacing w:after="0" w:line="288" w:lineRule="auto"/>
        <w:ind w:firstLine="720"/>
        <w:jc w:val="both"/>
        <w:outlineLvl w:val="2"/>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1. Một số giải pháp:</w:t>
      </w:r>
    </w:p>
    <w:p w14:paraId="52447C51" w14:textId="38777060" w:rsidR="00CC3BE3" w:rsidRPr="00EE68EF" w:rsidRDefault="001A1593" w:rsidP="00167B45">
      <w:pPr>
        <w:shd w:val="clear" w:color="auto" w:fill="FBFBFB"/>
        <w:spacing w:after="0" w:line="288" w:lineRule="auto"/>
        <w:ind w:firstLine="720"/>
        <w:jc w:val="both"/>
        <w:outlineLvl w:val="2"/>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Đại dịch Covid-19 bùng phát và lan rộng trên khắp toàn cầu, tác động mạnh mẽ và làm suy thoái nền kinh tế thế giới. Không ngoại lệ, nền kinh tế Việt Nam cũng chịu nhiều tổn thất nặng nề trên nhiều phương diện, nhất là khu vực DN. </w:t>
      </w:r>
      <w:r w:rsidR="00167B45" w:rsidRPr="00EE68EF">
        <w:rPr>
          <w:rFonts w:ascii="Times New Roman" w:hAnsi="Times New Roman" w:cs="Times New Roman"/>
          <w:color w:val="000000" w:themeColor="text1"/>
          <w:sz w:val="28"/>
          <w:szCs w:val="28"/>
        </w:rPr>
        <w:t>Trong giai đoạn phục hồi và phát triển, n</w:t>
      </w:r>
      <w:r w:rsidRPr="00EE68EF">
        <w:rPr>
          <w:rFonts w:ascii="Times New Roman" w:hAnsi="Times New Roman" w:cs="Times New Roman"/>
          <w:color w:val="000000" w:themeColor="text1"/>
          <w:sz w:val="28"/>
          <w:szCs w:val="28"/>
        </w:rPr>
        <w:t>hằm giúp DN Việt Nam tiếp cận hiệu quả các kênh dẫn vốn, đầu tư phát triển SXKD, cần phải có sự chung tay vào cuộc của nhiều bên để đạt được mục tiêu hỗ trợ cho các doanh nghiệp nhỏ và vừa, cụ thể:</w:t>
      </w:r>
    </w:p>
    <w:p w14:paraId="0E917D7B" w14:textId="77777777" w:rsidR="0064552F" w:rsidRPr="00EE68EF" w:rsidRDefault="001A1593" w:rsidP="0064552F">
      <w:pPr>
        <w:pStyle w:val="NormalWeb"/>
        <w:shd w:val="clear" w:color="auto" w:fill="FFFFFF"/>
        <w:spacing w:before="0" w:beforeAutospacing="0" w:after="0" w:afterAutospacing="0" w:line="288" w:lineRule="auto"/>
        <w:ind w:firstLine="720"/>
        <w:jc w:val="both"/>
        <w:textAlignment w:val="baseline"/>
        <w:rPr>
          <w:rStyle w:val="Emphasis"/>
          <w:b/>
          <w:bCs/>
          <w:color w:val="000000" w:themeColor="text1"/>
          <w:sz w:val="28"/>
          <w:szCs w:val="28"/>
          <w:bdr w:val="none" w:sz="0" w:space="0" w:color="auto" w:frame="1"/>
        </w:rPr>
      </w:pPr>
      <w:r w:rsidRPr="00EE68EF">
        <w:rPr>
          <w:rStyle w:val="Emphasis"/>
          <w:b/>
          <w:bCs/>
          <w:color w:val="000000" w:themeColor="text1"/>
          <w:sz w:val="28"/>
          <w:szCs w:val="28"/>
          <w:bdr w:val="none" w:sz="0" w:space="0" w:color="auto" w:frame="1"/>
        </w:rPr>
        <w:t>Thứ nhất, đối với các cơ quan quản lý</w:t>
      </w:r>
      <w:r w:rsidR="0064552F" w:rsidRPr="00EE68EF">
        <w:rPr>
          <w:rStyle w:val="Emphasis"/>
          <w:b/>
          <w:bCs/>
          <w:color w:val="000000" w:themeColor="text1"/>
          <w:sz w:val="28"/>
          <w:szCs w:val="28"/>
          <w:bdr w:val="none" w:sz="0" w:space="0" w:color="auto" w:frame="1"/>
        </w:rPr>
        <w:t xml:space="preserve"> </w:t>
      </w:r>
    </w:p>
    <w:p w14:paraId="309679B5" w14:textId="530BF15D" w:rsidR="0064552F" w:rsidRPr="00EE68EF" w:rsidRDefault="00AB0483" w:rsidP="0064552F">
      <w:pPr>
        <w:pStyle w:val="NormalWeb"/>
        <w:shd w:val="clear" w:color="auto" w:fill="FFFFFF"/>
        <w:spacing w:before="0" w:beforeAutospacing="0" w:after="0" w:afterAutospacing="0" w:line="288" w:lineRule="auto"/>
        <w:ind w:firstLine="720"/>
        <w:jc w:val="both"/>
        <w:textAlignment w:val="baseline"/>
        <w:rPr>
          <w:color w:val="000000" w:themeColor="text1"/>
          <w:sz w:val="28"/>
          <w:szCs w:val="28"/>
        </w:rPr>
      </w:pPr>
      <w:r w:rsidRPr="00EE68EF">
        <w:rPr>
          <w:color w:val="000000" w:themeColor="text1"/>
          <w:sz w:val="28"/>
          <w:szCs w:val="28"/>
        </w:rPr>
        <w:t>- Trong giai đoạn phục hồi và phát triển</w:t>
      </w:r>
      <w:r w:rsidR="001A1593" w:rsidRPr="00EE68EF">
        <w:rPr>
          <w:color w:val="000000" w:themeColor="text1"/>
          <w:sz w:val="28"/>
          <w:szCs w:val="28"/>
        </w:rPr>
        <w:t>, các doanh nghiệp Việt Nam đang có xu hướng tiếp cận các kênh huy động vốn phi ngân hàng như: thị trường chứng khoán, thị trường trái phiếu và kể cả các kênh phi truyền thống khác như huy động vốn cộng đồng, huy động vốn bằng hình thức thuê tài chính, huy động từ tín dụng thương mại… Trong đó, hình thức gọi vốn cộng đồng hay gọi vốn thông qua tiền mã hóa ngày càng trở nên phổ biến và đa dạng về hình thức. Do vậy, các cơ quan quản lý cần xây dựng các chính sách vĩ mô hỗ trợ doanh nghiệp tiếp cận hiệu quả các nguồn vốn trên. Theo đó, cần có lộ trình, giải pháp khuyến khích đồng bộ các thị trường tài chính, đa dạng hóa các kênh huy động vốn trong nên kinh tế; Hạn chế sử dụng các biện pháp hành chính trong điều hành lãi suất, để đảm bảo lãi suất trong nền kinh tế vận động theo cơ chế thị trường…Cùng với đó, ngân hàng nhà nước tiếp tục cung ứng vốn qua nghiệp vụ thị trường mở và nghiệp vụ tái cấp vốn để hỗ trợ thanh khoản cho các ngân hàng thương mại, điều hành chính sách tiền tệ linh hoạt để điều tiết vốn từ nơi thừa sang nơi thiếu nhằm tạo điều kiện tối đa để doanh nghiệp có thể tiếp cận được vốn vay.</w:t>
      </w:r>
    </w:p>
    <w:p w14:paraId="6E87A1D9" w14:textId="6FED062E"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Tiếp tục phát huy những thành quả mà hệ thống TCTD đã đạt được trong lĩnh vực cung ứng vốn cho các DNNVV trong giai đoạn vừa qua. Khuyến khích các TCTD không ngừng phát triển những sản phẩm tín dụng mới phù hợp với đặc điểm kinh doanh của các DNNVV như cho vay theo chuỗi cung ứng, cho vay dựa vào </w:t>
      </w:r>
      <w:r w:rsidRPr="00EE68EF">
        <w:rPr>
          <w:rFonts w:ascii="Times New Roman" w:hAnsi="Times New Roman" w:cs="Times New Roman"/>
          <w:color w:val="000000" w:themeColor="text1"/>
          <w:sz w:val="28"/>
          <w:szCs w:val="28"/>
        </w:rPr>
        <w:lastRenderedPageBreak/>
        <w:t>động sản là hàng hoá luân chuyển trong quá trình sản xuất kinh doanh, cho vay dựa vào dòng tiền,... để hỗ trợ vốn cho các DNNVV.</w:t>
      </w:r>
    </w:p>
    <w:p w14:paraId="6458E4F6" w14:textId="51769CEB"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Cần nghiên cứu và tạo điều kiện cho sự phát triển của những loại hình định chế tài chính trung gian mới như: Ngân hàng đầu tư, Quỹ đầu tư mạo hiểm, Quỹ đầu tư DNNVV. Kinh nghiệm cho thấy, tại các thị trường tài chính phát triển, các loại hình định chế tài chính trung gian phi ngân hàng phát triển rất mạnh, và là nơi thu xếp vốn chủ yếu cho các Starup và những DNNVV mới thành lập trong những lĩnh vực sáng tạo cao, đột phá. Bằng cách phát triển các loại hình định chế tài chính trung gian nêu trên, chúng ta sẽ tạo điều kiện kết nối trực tiếp những ý tưởng kinh doanh mới của các DN khởi nghiệp với các nhà đầu tư trên thị trường tài chính từ đó giải quyết bài toán vốn cho các DNNVV. </w:t>
      </w:r>
    </w:p>
    <w:p w14:paraId="41549732" w14:textId="2A9D625F"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Phát huy hơn nữa vai trò huy động vốn của thị trường chứng khoán trong việc cung ứng vốn trung dài hạn cho các DNNVV. Đặc biệt, cần đẩy mạnh quá trình phát triển thị trường trái phiếu doanh nghiệp bởi lẽ hiện nay có rất ít DN đang khai thác kênh vốn này và vì vậy dư địa phát triển của thị trường trái phiếu DN là còn rất lớn nếu chúng ta biết khai thác đúng cách. Cụ thể, các cơ quan quản lý Nhà nước có thể nghiên cứu xem xét: </w:t>
      </w:r>
    </w:p>
    <w:p w14:paraId="65392D3B" w14:textId="39B3A902"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Phối hợp với Trung tâm Thông tin tín dụng để thành lập các tổ định mức tín nhiệm doanh nghiệp nhằm cung cấp thông tin cho quá trình đánh giá và đầu tư trái phiếu của các DNNVV phát hành;</w:t>
      </w:r>
    </w:p>
    <w:p w14:paraId="5D8928FE" w14:textId="671568FD"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Có chính sách thu hút các nhà đầu tư trái phiếu doanh nghiệp bằng cách miễn thuế thu nhập đối với hoạt động đầu tư trái phiếu doanh nghiệp;</w:t>
      </w:r>
    </w:p>
    <w:p w14:paraId="3E0D1F46" w14:textId="7130ABCE"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Trong giai đoạn đầu áp dụng, có chính sách ưu đãi thuế thu nhập DN đối với các DN sử dụng nợ bằng cách phát hành và niêm yết trái phiếu trên sở giao dịch.</w:t>
      </w:r>
    </w:p>
    <w:p w14:paraId="68D1B4A7" w14:textId="72D3AFD3" w:rsidR="0064552F" w:rsidRPr="00EE68EF" w:rsidRDefault="001A1593" w:rsidP="00AB0483">
      <w:pPr>
        <w:pStyle w:val="ListParagraph"/>
        <w:spacing w:after="0" w:line="288" w:lineRule="auto"/>
        <w:ind w:left="0" w:firstLine="720"/>
        <w:jc w:val="both"/>
        <w:rPr>
          <w:rStyle w:val="Emphasis"/>
          <w:rFonts w:ascii="Times New Roman" w:hAnsi="Times New Roman" w:cs="Times New Roman"/>
          <w:b/>
          <w:bCs/>
          <w:color w:val="000000" w:themeColor="text1"/>
          <w:sz w:val="28"/>
          <w:szCs w:val="28"/>
          <w:bdr w:val="none" w:sz="0" w:space="0" w:color="auto" w:frame="1"/>
        </w:rPr>
      </w:pPr>
      <w:r w:rsidRPr="00EE68EF">
        <w:rPr>
          <w:rStyle w:val="Emphasis"/>
          <w:rFonts w:ascii="Times New Roman" w:hAnsi="Times New Roman" w:cs="Times New Roman"/>
          <w:b/>
          <w:bCs/>
          <w:color w:val="000000" w:themeColor="text1"/>
          <w:sz w:val="28"/>
          <w:szCs w:val="28"/>
          <w:bdr w:val="none" w:sz="0" w:space="0" w:color="auto" w:frame="1"/>
        </w:rPr>
        <w:t>Thứ hai, đối với các tổ chức tín dụng</w:t>
      </w:r>
    </w:p>
    <w:p w14:paraId="03B8295D" w14:textId="37EC67E7" w:rsidR="0064552F" w:rsidRPr="00EE68EF" w:rsidRDefault="001A1593" w:rsidP="0064552F">
      <w:pPr>
        <w:pStyle w:val="NormalWeb"/>
        <w:shd w:val="clear" w:color="auto" w:fill="FFFFFF"/>
        <w:spacing w:before="0" w:beforeAutospacing="0" w:after="0" w:afterAutospacing="0" w:line="288" w:lineRule="auto"/>
        <w:ind w:firstLine="720"/>
        <w:jc w:val="both"/>
        <w:textAlignment w:val="baseline"/>
        <w:rPr>
          <w:color w:val="000000" w:themeColor="text1"/>
          <w:sz w:val="28"/>
          <w:szCs w:val="28"/>
        </w:rPr>
      </w:pPr>
      <w:r w:rsidRPr="00EE68EF">
        <w:rPr>
          <w:color w:val="000000" w:themeColor="text1"/>
          <w:sz w:val="28"/>
          <w:szCs w:val="28"/>
        </w:rPr>
        <w:t xml:space="preserve">Các tổ chức tín dụng tiếp tục xây dựng chính sách tín dụng phù hợp đối với từng loại hình doanh nghiệp. Đồng thời, nâng cao hiệu quả kiểm tra, giám sát sử dụng vốn vay của doanh nghiệp sau khi giải ngân; Tăng cường quản lý rủi ro, quản lý nợ xấu… Đồng thời, phân tích và đánh giá chính xác mức sinh lời của doanh nghiệp để từ đó xác định mức lãi suất cho vay hợp lý, đảm bảo đôi bên cùng phát triển.Các tổ chức tín dụng cần nâng cao khả năng dự báo và thực hiện tốt vai trò tư vấn về lãi suất cho vay đối với khách hàng để giúp doanh nghiệp phòng ngừa và hạn </w:t>
      </w:r>
      <w:r w:rsidRPr="00EE68EF">
        <w:rPr>
          <w:color w:val="000000" w:themeColor="text1"/>
          <w:sz w:val="28"/>
          <w:szCs w:val="28"/>
        </w:rPr>
        <w:lastRenderedPageBreak/>
        <w:t>chế rủi ro. Đồng thời, thường xuyên và kịp thời thực hiện các chính sách ưu đãi, chia sẻ khó khăn về lãi suất với các khách hàng. Xem xét, đẩy mạnh việc cho vay thông qua tín chấp, đánh giá hiệu quả và lợi nhuận của các dự án đầu tư để cấp vốn cho các doanh nghiệp. Chủ động đánh giá lại các khoản nợ, gia hạn nợ, đáo nợ, cùng doanh nghiệp tháo gỡ khó khăn, phục hồi sản xuất. Cơ cấu lại nợ, giãn nợ, ưu đãi tín dụng cho doanh nghiệp, nếu doanh nghiệp chứng minh được các nguồn thu để trả nợ ngân hàng; Phát triển hình thức thuê tài chính để giúp doanh nghiệp nhanh chóng đổi mới công nghệ...</w:t>
      </w:r>
    </w:p>
    <w:p w14:paraId="243ADA14" w14:textId="4AE33060" w:rsidR="0064552F" w:rsidRPr="00EE68EF" w:rsidRDefault="001A1593" w:rsidP="0064552F">
      <w:pPr>
        <w:pStyle w:val="NormalWeb"/>
        <w:shd w:val="clear" w:color="auto" w:fill="FFFFFF"/>
        <w:spacing w:before="0" w:beforeAutospacing="0" w:after="0" w:afterAutospacing="0" w:line="288" w:lineRule="auto"/>
        <w:ind w:firstLine="720"/>
        <w:jc w:val="both"/>
        <w:textAlignment w:val="baseline"/>
        <w:rPr>
          <w:rStyle w:val="Emphasis"/>
          <w:b/>
          <w:bCs/>
          <w:color w:val="000000" w:themeColor="text1"/>
          <w:sz w:val="28"/>
          <w:szCs w:val="28"/>
          <w:bdr w:val="none" w:sz="0" w:space="0" w:color="auto" w:frame="1"/>
        </w:rPr>
      </w:pPr>
      <w:r w:rsidRPr="00EE68EF">
        <w:rPr>
          <w:rStyle w:val="Emphasis"/>
          <w:b/>
          <w:bCs/>
          <w:color w:val="000000" w:themeColor="text1"/>
          <w:sz w:val="28"/>
          <w:szCs w:val="28"/>
          <w:bdr w:val="none" w:sz="0" w:space="0" w:color="auto" w:frame="1"/>
        </w:rPr>
        <w:t xml:space="preserve">Thứ </w:t>
      </w:r>
      <w:r w:rsidR="00AB0483" w:rsidRPr="00EE68EF">
        <w:rPr>
          <w:rStyle w:val="Emphasis"/>
          <w:b/>
          <w:bCs/>
          <w:color w:val="000000" w:themeColor="text1"/>
          <w:sz w:val="28"/>
          <w:szCs w:val="28"/>
          <w:bdr w:val="none" w:sz="0" w:space="0" w:color="auto" w:frame="1"/>
        </w:rPr>
        <w:t>ba</w:t>
      </w:r>
      <w:r w:rsidRPr="00EE68EF">
        <w:rPr>
          <w:rStyle w:val="Emphasis"/>
          <w:b/>
          <w:bCs/>
          <w:color w:val="000000" w:themeColor="text1"/>
          <w:sz w:val="28"/>
          <w:szCs w:val="28"/>
          <w:bdr w:val="none" w:sz="0" w:space="0" w:color="auto" w:frame="1"/>
        </w:rPr>
        <w:t>, đối với các doanh nghiệp</w:t>
      </w:r>
    </w:p>
    <w:p w14:paraId="467DE0EC" w14:textId="6B0034AC"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Các DNNVV cần phải khắc phục tình trạng kém minh bạch thông tin của mình để xây dựng niềm tin với không chỉ các TCTD mà còn với các nhà đầu tư tài chính, các quỹ đầu tư chứng khoán và các định chế tài chính trung gian khác. Khi các nhà đầu tư trên thị trường tài chính có đầy đủ thông tin phục vụ cho việc quản trị rủi ro, họ sẽ mạnh dạn đầu tư vào các chứng khoán do DNNVV phát hành, qua đó tạo vốn cho các DNNVV, giúp các DNNVV từng bước đa dạng hoá được các nguồn vốn phục vục cho quá trình phát triển của mình.</w:t>
      </w:r>
    </w:p>
    <w:p w14:paraId="662A8A02" w14:textId="37BFCA24" w:rsidR="00AB0483" w:rsidRPr="00EE68EF" w:rsidRDefault="00AB0483" w:rsidP="00AB0483">
      <w:pPr>
        <w:pStyle w:val="ListParagraph"/>
        <w:spacing w:after="0" w:line="288" w:lineRule="auto"/>
        <w:ind w:left="0" w:firstLine="720"/>
        <w:jc w:val="both"/>
        <w:rPr>
          <w:rFonts w:ascii="Times New Roman" w:hAnsi="Times New Roman" w:cs="Times New Roman"/>
          <w:color w:val="000000" w:themeColor="text1"/>
          <w:sz w:val="28"/>
          <w:szCs w:val="28"/>
        </w:rPr>
      </w:pPr>
      <w:r w:rsidRPr="00EE68EF">
        <w:rPr>
          <w:rFonts w:ascii="Times New Roman" w:hAnsi="Times New Roman" w:cs="Times New Roman"/>
          <w:color w:val="000000" w:themeColor="text1"/>
          <w:sz w:val="28"/>
          <w:szCs w:val="28"/>
        </w:rPr>
        <w:t xml:space="preserve"> - Các DNNVV cần tích cực thay đổi tư duy quản lý, thay đổi mô hình hoạt động, không ngừng nâng cao kiến thức về quản trị kinh doanh, kiến thức về pháp luật, về công nghệ thông tin, nâng cao năng lực cạnh tranh để từng bước tiếp cận và khai thác các nguồn vốn nhàn rỗi khác trên thị trường tài chính.</w:t>
      </w:r>
    </w:p>
    <w:p w14:paraId="4F5B4FFB" w14:textId="7027804C" w:rsidR="001A1593" w:rsidRPr="00EE68EF" w:rsidRDefault="00AB0483" w:rsidP="0064552F">
      <w:pPr>
        <w:pStyle w:val="NormalWeb"/>
        <w:shd w:val="clear" w:color="auto" w:fill="FFFFFF"/>
        <w:spacing w:before="0" w:beforeAutospacing="0" w:after="0" w:afterAutospacing="0" w:line="288" w:lineRule="auto"/>
        <w:ind w:firstLine="720"/>
        <w:jc w:val="both"/>
        <w:textAlignment w:val="baseline"/>
        <w:rPr>
          <w:color w:val="000000" w:themeColor="text1"/>
          <w:sz w:val="28"/>
          <w:szCs w:val="28"/>
        </w:rPr>
      </w:pPr>
      <w:r w:rsidRPr="00EE68EF">
        <w:rPr>
          <w:color w:val="000000" w:themeColor="text1"/>
          <w:sz w:val="28"/>
          <w:szCs w:val="28"/>
        </w:rPr>
        <w:t xml:space="preserve">- </w:t>
      </w:r>
      <w:r w:rsidR="001A1593" w:rsidRPr="00EE68EF">
        <w:rPr>
          <w:color w:val="000000" w:themeColor="text1"/>
          <w:sz w:val="28"/>
          <w:szCs w:val="28"/>
        </w:rPr>
        <w:t xml:space="preserve">Các doanh nghiệp sớm hoàn thiện cơ chế quản lý, kế hoạch kinh doanh, tài chính, đầu tư công nghệ, nâng cao trình độ quản lý để tăng khả năng cạnh tranh của sản phẩm; Lựa chọn các phương án kinh doanh hiệu quả, tập trung vào các lĩnh vực sản xuất kinh doanh chủ chốt, có thế mạnh, có khả năng tạo ra dòng tiền bền vững không đầu tư dàn trải, mạo hiểm; Thực hiện nghiêm túc chế độ kế toán cho doanh nghiệp.Đặc biệt, các doanh nghiệp cũng cần quan tâm đến công tác phân tích, lập kế hoạch, chiến lược kinh doanh, tăng cường quản lý tài chính… vừa chủ động tìm kiếm, nắm bắt, hiện thực hóa cơ hội, đồng thời củng cố các điều kiện để tiếp cận các nguồn vốn vay.Đồng thời, các doanh nghiệp cần đổi mới hệ thống quản trị nội bộ. Minh bạch vấn đề tài chính để sử dụng hiệu quản nguồn lực, giảm thiểu chi phí, rủi ro cho cả doanh nghiệp và ngân hàng, tạo lòng tin trên thị trường... Chủ động trong việc xây dựng dự án, phương thức đầu tư phù hợp với năng lực về vốn, công nghệ và con người. Tích cực tham gia các hiệp hội doanh nghiệp để tiếp cận thông tin về </w:t>
      </w:r>
      <w:r w:rsidR="001A1593" w:rsidRPr="00EE68EF">
        <w:rPr>
          <w:color w:val="000000" w:themeColor="text1"/>
          <w:sz w:val="28"/>
          <w:szCs w:val="28"/>
        </w:rPr>
        <w:lastRenderedPageBreak/>
        <w:t>các chính sách, chương trình hỗ trợ đối với doanh nghiệp của Chính phủ, Nhà nước cũng như các tổ chức tín dụng</w:t>
      </w:r>
      <w:r w:rsidRPr="00EE68EF">
        <w:rPr>
          <w:color w:val="000000" w:themeColor="text1"/>
          <w:sz w:val="28"/>
          <w:szCs w:val="28"/>
        </w:rPr>
        <w:t>.</w:t>
      </w:r>
    </w:p>
    <w:p w14:paraId="014E2A83" w14:textId="24D9EFFD" w:rsidR="001A1593" w:rsidRPr="00EE68EF" w:rsidRDefault="00167B45" w:rsidP="0064552F">
      <w:pPr>
        <w:shd w:val="clear" w:color="auto" w:fill="FBFBFB"/>
        <w:spacing w:after="0" w:line="288" w:lineRule="auto"/>
        <w:ind w:firstLine="720"/>
        <w:jc w:val="both"/>
        <w:outlineLvl w:val="2"/>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2</w:t>
      </w:r>
      <w:r w:rsidR="001A1593" w:rsidRPr="00EE68EF">
        <w:rPr>
          <w:rFonts w:ascii="Times New Roman" w:eastAsia="Times New Roman" w:hAnsi="Times New Roman" w:cs="Times New Roman"/>
          <w:b/>
          <w:bCs/>
          <w:color w:val="000000" w:themeColor="text1"/>
          <w:sz w:val="28"/>
          <w:szCs w:val="28"/>
        </w:rPr>
        <w:t>. Một số đề xuất</w:t>
      </w:r>
      <w:r w:rsidR="006B7B48">
        <w:rPr>
          <w:rFonts w:ascii="Times New Roman" w:eastAsia="Times New Roman" w:hAnsi="Times New Roman" w:cs="Times New Roman"/>
          <w:b/>
          <w:bCs/>
          <w:color w:val="000000" w:themeColor="text1"/>
          <w:sz w:val="28"/>
          <w:szCs w:val="28"/>
        </w:rPr>
        <w:t xml:space="preserve"> về hỗ trợ DNNVV trong lĩnh vực huy động vốn</w:t>
      </w:r>
      <w:r w:rsidRPr="00EE68EF">
        <w:rPr>
          <w:rFonts w:ascii="Times New Roman" w:eastAsia="Times New Roman" w:hAnsi="Times New Roman" w:cs="Times New Roman"/>
          <w:b/>
          <w:bCs/>
          <w:color w:val="000000" w:themeColor="text1"/>
          <w:sz w:val="28"/>
          <w:szCs w:val="28"/>
        </w:rPr>
        <w:t>:</w:t>
      </w:r>
    </w:p>
    <w:p w14:paraId="2EC18B27" w14:textId="5E2C19F5"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nhất</w:t>
      </w:r>
      <w:r w:rsidRPr="00EE68EF">
        <w:rPr>
          <w:rFonts w:ascii="Times New Roman" w:eastAsia="Times New Roman" w:hAnsi="Times New Roman" w:cs="Times New Roman"/>
          <w:color w:val="000000" w:themeColor="text1"/>
          <w:sz w:val="28"/>
          <w:szCs w:val="28"/>
        </w:rPr>
        <w:t xml:space="preserve">, cần rà soát hệ thống luật pháp để hoàn thiện cơ chế, chính sách tạo sự đồng bộ,  đảm bảo tính thực thi, nhằm khuyến khích các </w:t>
      </w:r>
      <w:r w:rsidR="00EE5CFC">
        <w:rPr>
          <w:rFonts w:ascii="Times New Roman" w:eastAsia="Times New Roman" w:hAnsi="Times New Roman" w:cs="Times New Roman"/>
          <w:color w:val="000000" w:themeColor="text1"/>
          <w:sz w:val="28"/>
          <w:szCs w:val="28"/>
        </w:rPr>
        <w:t>DNNVV</w:t>
      </w:r>
      <w:r w:rsidRPr="00EE68EF">
        <w:rPr>
          <w:rFonts w:ascii="Times New Roman" w:eastAsia="Times New Roman" w:hAnsi="Times New Roman" w:cs="Times New Roman"/>
          <w:color w:val="000000" w:themeColor="text1"/>
          <w:sz w:val="28"/>
          <w:szCs w:val="28"/>
        </w:rPr>
        <w:t xml:space="preserve"> hình thành và phát triển. Sớm ban hành văn bản liên quan  đến các quy định về kinh phí, hồ sơ để xác nhận các kết quả khoa học công nghệ do doanh nghiệp tự đầu tư cho hoạt động R&amp;D. </w:t>
      </w:r>
    </w:p>
    <w:p w14:paraId="52042D69" w14:textId="65A3CC6A"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hai</w:t>
      </w:r>
      <w:r w:rsidRPr="00EE68EF">
        <w:rPr>
          <w:rFonts w:ascii="Times New Roman" w:eastAsia="Times New Roman" w:hAnsi="Times New Roman" w:cs="Times New Roman"/>
          <w:color w:val="000000" w:themeColor="text1"/>
          <w:sz w:val="28"/>
          <w:szCs w:val="28"/>
        </w:rPr>
        <w:t xml:space="preserve">, trong bối cảnh </w:t>
      </w:r>
      <w:r w:rsidR="00EE5CFC">
        <w:rPr>
          <w:rFonts w:ascii="Times New Roman" w:eastAsia="Times New Roman" w:hAnsi="Times New Roman" w:cs="Times New Roman"/>
          <w:color w:val="000000" w:themeColor="text1"/>
          <w:sz w:val="28"/>
          <w:szCs w:val="28"/>
        </w:rPr>
        <w:t>phục hồi và phát triển</w:t>
      </w:r>
      <w:r w:rsidRPr="00EE68EF">
        <w:rPr>
          <w:rFonts w:ascii="Times New Roman" w:eastAsia="Times New Roman" w:hAnsi="Times New Roman" w:cs="Times New Roman"/>
          <w:color w:val="000000" w:themeColor="text1"/>
          <w:sz w:val="28"/>
          <w:szCs w:val="28"/>
        </w:rPr>
        <w:t>, startup khoa học công nghệ cần tăng cường tìm kiếm và tiếp cận các nguồn vốn giá rẻ từ các chương trình, dự án ưu đãi của các tổ chức trong và ngoài nước để tài trợ cho các lĩnh vực kinh doanh đặc thù được Chính phủ, Nhà nước chú trọng phát triển.</w:t>
      </w:r>
    </w:p>
    <w:p w14:paraId="054EFD1D" w14:textId="6B20BD7F"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ba</w:t>
      </w:r>
      <w:r w:rsidRPr="00EE68EF">
        <w:rPr>
          <w:rFonts w:ascii="Times New Roman" w:eastAsia="Times New Roman" w:hAnsi="Times New Roman" w:cs="Times New Roman"/>
          <w:color w:val="000000" w:themeColor="text1"/>
          <w:sz w:val="28"/>
          <w:szCs w:val="28"/>
        </w:rPr>
        <w:t>, rà soát tổ chức lại hệ thống đơn vị quản lý nhà nước về doanh nghiệ</w:t>
      </w:r>
      <w:r w:rsidR="007439F9" w:rsidRPr="00EE68EF">
        <w:rPr>
          <w:rFonts w:ascii="Times New Roman" w:eastAsia="Times New Roman" w:hAnsi="Times New Roman" w:cs="Times New Roman"/>
          <w:color w:val="000000" w:themeColor="text1"/>
          <w:sz w:val="28"/>
          <w:szCs w:val="28"/>
        </w:rPr>
        <w:t>p</w:t>
      </w:r>
      <w:r w:rsidRPr="00EE68EF">
        <w:rPr>
          <w:rFonts w:ascii="Times New Roman" w:eastAsia="Times New Roman" w:hAnsi="Times New Roman" w:cs="Times New Roman"/>
          <w:color w:val="000000" w:themeColor="text1"/>
          <w:sz w:val="28"/>
          <w:szCs w:val="28"/>
        </w:rPr>
        <w:t xml:space="preserve">, phân định chức năng nhiệm vụ cho rõ ràng và phù hợp. Đồng thời, thiết lập tổ chức đầu mối ở trung ương và địa phương với các chức năng, nhiệm vụ, quyền hạn, đảm bảo đủ điều kiện và năng lực giải quyết kịp thời những khó khăn, vướng mắc cho các </w:t>
      </w:r>
      <w:r w:rsidR="00EE5CFC">
        <w:rPr>
          <w:rFonts w:ascii="Times New Roman" w:eastAsia="Times New Roman" w:hAnsi="Times New Roman" w:cs="Times New Roman"/>
          <w:color w:val="000000" w:themeColor="text1"/>
          <w:sz w:val="28"/>
          <w:szCs w:val="28"/>
        </w:rPr>
        <w:t>DNNVV</w:t>
      </w:r>
      <w:r w:rsidRPr="00EE68EF">
        <w:rPr>
          <w:rFonts w:ascii="Times New Roman" w:eastAsia="Times New Roman" w:hAnsi="Times New Roman" w:cs="Times New Roman"/>
          <w:color w:val="000000" w:themeColor="text1"/>
          <w:sz w:val="28"/>
          <w:szCs w:val="28"/>
        </w:rPr>
        <w:t xml:space="preserve">. Tổ chức đầu mối cần đẩy nhanh tiến độ thực hiện chuyển đổi các tổ chức khoa học công nghệ công lập sang cơ chế tự chủ, tự chịu trách nhiệm, hoặc chuyển sang thành lập các </w:t>
      </w:r>
      <w:r w:rsidR="00EE5CFC">
        <w:rPr>
          <w:rFonts w:ascii="Times New Roman" w:eastAsia="Times New Roman" w:hAnsi="Times New Roman" w:cs="Times New Roman"/>
          <w:color w:val="000000" w:themeColor="text1"/>
          <w:sz w:val="28"/>
          <w:szCs w:val="28"/>
        </w:rPr>
        <w:t>DNNVV</w:t>
      </w:r>
      <w:r w:rsidRPr="00EE68EF">
        <w:rPr>
          <w:rFonts w:ascii="Times New Roman" w:eastAsia="Times New Roman" w:hAnsi="Times New Roman" w:cs="Times New Roman"/>
          <w:color w:val="000000" w:themeColor="text1"/>
          <w:sz w:val="28"/>
          <w:szCs w:val="28"/>
        </w:rPr>
        <w:t xml:space="preserve"> theo quy định  của Thủ tướng Chính phủ. Ngoài  ra, tổ chức đầu mối này còn giữ vai trò tích cực trong việc tạo ra các kết nối giữa doanh nghiệp, viện nghiên cứu/trường đại học để hỗ trợ cho quá trình  đổi mới công nghệ của các doanh nghiệp.</w:t>
      </w:r>
    </w:p>
    <w:p w14:paraId="4250E2CE" w14:textId="61DDB93D"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Mặt khác, tổ chức các diễn đàn/hội thảo để kết nối doanh nghiệp </w:t>
      </w:r>
      <w:r w:rsidR="007439F9" w:rsidRPr="00EE68EF">
        <w:rPr>
          <w:rFonts w:ascii="Times New Roman" w:eastAsia="Times New Roman" w:hAnsi="Times New Roman" w:cs="Times New Roman"/>
          <w:color w:val="000000" w:themeColor="text1"/>
          <w:sz w:val="28"/>
          <w:szCs w:val="28"/>
        </w:rPr>
        <w:t>với</w:t>
      </w:r>
      <w:r w:rsidRPr="00EE68EF">
        <w:rPr>
          <w:rFonts w:ascii="Times New Roman" w:eastAsia="Times New Roman" w:hAnsi="Times New Roman" w:cs="Times New Roman"/>
          <w:color w:val="000000" w:themeColor="text1"/>
          <w:sz w:val="28"/>
          <w:szCs w:val="28"/>
        </w:rPr>
        <w:t xml:space="preserve"> các quỹ đầu tư nội địa và quốc tế nhằm cung cấp thông tin cho 2 bên, tăng cơ hội cho doanh nghiệp khởi nghiệp trở thành đối tượng đầu tư của các đối tác lớn này, đồng thời, giúp doanh nghiệp dễ dàng tiếp cận với nguồn vốn tài trợ từ các quỹ  hơn.</w:t>
      </w:r>
    </w:p>
    <w:p w14:paraId="3419C530" w14:textId="7E27F698"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tư</w:t>
      </w:r>
      <w:r w:rsidRPr="00EE68EF">
        <w:rPr>
          <w:rFonts w:ascii="Times New Roman" w:eastAsia="Times New Roman" w:hAnsi="Times New Roman" w:cs="Times New Roman"/>
          <w:color w:val="000000" w:themeColor="text1"/>
          <w:sz w:val="28"/>
          <w:szCs w:val="28"/>
        </w:rPr>
        <w:t xml:space="preserve">, xây dựng hệ thống công nghệ thông tin liên kết với các </w:t>
      </w:r>
      <w:r w:rsidR="00EE5CFC">
        <w:rPr>
          <w:rFonts w:ascii="Times New Roman" w:eastAsia="Times New Roman" w:hAnsi="Times New Roman" w:cs="Times New Roman"/>
          <w:color w:val="000000" w:themeColor="text1"/>
          <w:sz w:val="28"/>
          <w:szCs w:val="28"/>
        </w:rPr>
        <w:t>DNNVV</w:t>
      </w:r>
      <w:r w:rsidRPr="00EE68EF">
        <w:rPr>
          <w:rFonts w:ascii="Times New Roman" w:eastAsia="Times New Roman" w:hAnsi="Times New Roman" w:cs="Times New Roman"/>
          <w:color w:val="000000" w:themeColor="text1"/>
          <w:sz w:val="28"/>
          <w:szCs w:val="28"/>
        </w:rPr>
        <w:t>, triển khai và cung cấp các giải pháp quản lý dòng tiền (như quản lý khoản phải thu, khoản phải trả, sao kê, báo cáo dòng tiền,...), để cho phép các doanh nghiệp có thể tự giao dịch với chi phí thấp, giúp các doanh nghiệp nâng cao năng lực quản lý tài chính, đáp ứng các điều kiện khi tham gia các chuỗi cung ứng của các đối tác lớn trong và ngoài nước.</w:t>
      </w:r>
    </w:p>
    <w:p w14:paraId="5BAE9FCC" w14:textId="7E4BFF85"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lastRenderedPageBreak/>
        <w:t>Thứ năm</w:t>
      </w:r>
      <w:r w:rsidRPr="00EE68EF">
        <w:rPr>
          <w:rFonts w:ascii="Times New Roman" w:eastAsia="Times New Roman" w:hAnsi="Times New Roman" w:cs="Times New Roman"/>
          <w:color w:val="000000" w:themeColor="text1"/>
          <w:sz w:val="28"/>
          <w:szCs w:val="28"/>
        </w:rPr>
        <w:t>, Các Bộ, ngành có liên quan theo từng ngành nghề kinh doanh cần có sự phối hợp để tổ chức các chương trình đào tạo chung, cũng như các chương trình đào tạo riêng mang tính đặc thù cho từng ngành nghề, để nâng cao năng lực chuyên môn, cung cấp thông tin thị trường vĩ mô cũng như các thông tin liên quan đến định hướng của Chính phủ, thông tin về các chương trình vay vốn, yêu cầu và cách thức để xây dựng hồ sơ tiếp cận vốn thông qua các kênh khác nhau. Bên cạnh đó, cần xây dựng Cổng thông tin quốc gia về hỗ trợ doanh nghiệp khởi nghiệp, để doanh nghiệp có thể dễ dàng tiếp cận thông tin liên quan đến các chương trình hỗ trợ.</w:t>
      </w:r>
    </w:p>
    <w:p w14:paraId="55353B63" w14:textId="77777777"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sáu</w:t>
      </w:r>
      <w:r w:rsidRPr="00EE68EF">
        <w:rPr>
          <w:rFonts w:ascii="Times New Roman" w:eastAsia="Times New Roman" w:hAnsi="Times New Roman" w:cs="Times New Roman"/>
          <w:color w:val="000000" w:themeColor="text1"/>
          <w:sz w:val="28"/>
          <w:szCs w:val="28"/>
        </w:rPr>
        <w:t>, sớm hình thành Quỹ Đầu tư mạo hiểm theo Luật CNC, khuyến khích, thu hút các Quỹ Đầu tư mạo hiểm nước ngoài hoạt động tại Việt Nam nhằm hỗ trợ kịp thời cho quá trình đổi mới. Triển khai nghiên cứu thí điểm về loại hình cổ phiếu công nghệ, sớm đưa loại hình cổ phiếu này trở thành hàng hóa giao dịch trên thị trường, giúp hình thành nguồn vốn mới, tạo động lực cho sự phát triển.</w:t>
      </w:r>
    </w:p>
    <w:p w14:paraId="76341C7A" w14:textId="4AF124CA" w:rsidR="001A1593" w:rsidRPr="00EE68EF" w:rsidRDefault="001A1593" w:rsidP="0064552F">
      <w:pPr>
        <w:shd w:val="clear" w:color="auto" w:fill="FBFBFB"/>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bảy</w:t>
      </w:r>
      <w:r w:rsidRPr="00EE68EF">
        <w:rPr>
          <w:rFonts w:ascii="Times New Roman" w:eastAsia="Times New Roman" w:hAnsi="Times New Roman" w:cs="Times New Roman"/>
          <w:color w:val="000000" w:themeColor="text1"/>
          <w:sz w:val="28"/>
          <w:szCs w:val="28"/>
        </w:rPr>
        <w:t>, nghiên cứu, xây dựng mô hình ươm tạo doanh nghiệp phù hợp với điều kiện của địa phương. Một trong những mô hình cần được xem xét là thiết lập vườn ươm doanh nghiệp trong từng vùng để hỗ trợ cho doanh nghiệp đầu tư phát  triển công nghệ mới trong vùng. </w:t>
      </w:r>
    </w:p>
    <w:p w14:paraId="02EE2099" w14:textId="440D6EA8" w:rsidR="00BA3B11" w:rsidRDefault="00BA3B11"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525B00C4" w14:textId="083941F6"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17A43D48" w14:textId="12CFAE81"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446638F2" w14:textId="20A36A97"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383CF20E" w14:textId="151EDCB4"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5C05A228" w14:textId="5F2ABE48"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05D2C3A0" w14:textId="01A78115"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120FBFB3" w14:textId="0139EAEF"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25F67495" w14:textId="7AE3383A" w:rsidR="00EE5CFC"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79F110B0" w14:textId="77777777" w:rsidR="00EE5CFC" w:rsidRPr="00EE68EF" w:rsidRDefault="00EE5CFC" w:rsidP="00021A86">
      <w:pPr>
        <w:shd w:val="clear" w:color="auto" w:fill="FBFBFB"/>
        <w:spacing w:before="180" w:after="180" w:line="240" w:lineRule="auto"/>
        <w:jc w:val="both"/>
        <w:rPr>
          <w:rFonts w:ascii="Times New Roman" w:hAnsi="Times New Roman" w:cs="Times New Roman"/>
          <w:b/>
          <w:color w:val="000000" w:themeColor="text1"/>
          <w:sz w:val="28"/>
          <w:szCs w:val="28"/>
          <w:lang w:val="pt-BR"/>
        </w:rPr>
      </w:pPr>
    </w:p>
    <w:p w14:paraId="1D88DDF4" w14:textId="6B5CBE45" w:rsidR="00BA3B11" w:rsidRPr="00EE68EF" w:rsidRDefault="00BA3B11" w:rsidP="00DB03D9">
      <w:pPr>
        <w:shd w:val="clear" w:color="auto" w:fill="FFFFFF"/>
        <w:spacing w:before="75" w:after="75" w:line="240" w:lineRule="auto"/>
        <w:ind w:firstLine="720"/>
        <w:jc w:val="both"/>
        <w:textAlignment w:val="baseline"/>
        <w:outlineLvl w:val="1"/>
        <w:rPr>
          <w:rFonts w:ascii="Times New Roman" w:hAnsi="Times New Roman"/>
          <w:b/>
          <w:color w:val="000000" w:themeColor="text1"/>
          <w:sz w:val="28"/>
          <w:szCs w:val="28"/>
        </w:rPr>
      </w:pPr>
      <w:r w:rsidRPr="00EE68EF">
        <w:rPr>
          <w:rFonts w:ascii="Times New Roman" w:hAnsi="Times New Roman"/>
          <w:b/>
          <w:color w:val="000000" w:themeColor="text1"/>
          <w:sz w:val="28"/>
          <w:szCs w:val="28"/>
          <w:lang w:val="pt-BR"/>
        </w:rPr>
        <w:lastRenderedPageBreak/>
        <w:t>Tham luận 5: Các quy định pháp luật về hình thức huy động vốn từ</w:t>
      </w:r>
      <w:r w:rsidRPr="00EE68EF">
        <w:rPr>
          <w:rFonts w:ascii="Times New Roman" w:hAnsi="Times New Roman"/>
          <w:b/>
          <w:bCs/>
          <w:color w:val="000000" w:themeColor="text1"/>
          <w:sz w:val="28"/>
          <w:szCs w:val="28"/>
          <w:lang w:val="pt-BR"/>
        </w:rPr>
        <w:t xml:space="preserve"> vay các tổ chức tín dụng</w:t>
      </w:r>
      <w:r w:rsidRPr="00EE68EF">
        <w:rPr>
          <w:rFonts w:ascii="Times New Roman" w:hAnsi="Times New Roman"/>
          <w:b/>
          <w:bCs/>
          <w:color w:val="000000" w:themeColor="text1"/>
          <w:kern w:val="36"/>
          <w:sz w:val="28"/>
          <w:szCs w:val="28"/>
          <w:lang w:val="pt-BR"/>
        </w:rPr>
        <w:t>. Một số rủi ro pháp lý cần lưu ý và giải pháp tối ưu cho doanh nghiệp</w:t>
      </w:r>
    </w:p>
    <w:p w14:paraId="60C2DD16" w14:textId="3A3CD14C" w:rsidR="00EE68EF" w:rsidRDefault="00DB77E5" w:rsidP="00BA3B11">
      <w:pPr>
        <w:shd w:val="clear" w:color="auto" w:fill="FFFFFF"/>
        <w:spacing w:before="75" w:after="75" w:line="240" w:lineRule="auto"/>
        <w:ind w:left="1440" w:firstLine="720"/>
        <w:jc w:val="both"/>
        <w:textAlignment w:val="baseline"/>
        <w:outlineLvl w:val="1"/>
        <w:rPr>
          <w:rFonts w:ascii="Times New Roman" w:hAnsi="Times New Roman"/>
          <w:b/>
          <w:i/>
          <w:iCs/>
          <w:color w:val="000000" w:themeColor="text1"/>
          <w:sz w:val="28"/>
          <w:szCs w:val="28"/>
          <w:lang w:val="vi-VN"/>
        </w:rPr>
      </w:pPr>
      <w:r w:rsidRPr="00DB77E5">
        <w:rPr>
          <w:rFonts w:ascii="Times New Roman" w:hAnsi="Times New Roman"/>
          <w:b/>
          <w:i/>
          <w:color w:val="000000" w:themeColor="text1"/>
          <w:sz w:val="28"/>
          <w:szCs w:val="28"/>
        </w:rPr>
        <w:t>Luật gia Phạm Trắc Long</w:t>
      </w:r>
      <w:r w:rsidR="00CC2D14">
        <w:rPr>
          <w:rFonts w:ascii="Times New Roman" w:hAnsi="Times New Roman"/>
          <w:b/>
          <w:i/>
          <w:color w:val="000000" w:themeColor="text1"/>
          <w:sz w:val="28"/>
          <w:szCs w:val="28"/>
        </w:rPr>
        <w:t xml:space="preserve"> </w:t>
      </w:r>
      <w:bookmarkStart w:id="6" w:name="_GoBack"/>
      <w:bookmarkEnd w:id="6"/>
      <w:r w:rsidRPr="00DB77E5">
        <w:rPr>
          <w:rFonts w:ascii="Times New Roman" w:hAnsi="Times New Roman"/>
          <w:b/>
          <w:i/>
          <w:color w:val="000000" w:themeColor="text1"/>
          <w:sz w:val="28"/>
          <w:szCs w:val="28"/>
          <w:shd w:val="clear" w:color="auto" w:fill="FFFFFF"/>
        </w:rPr>
        <w:t xml:space="preserve">- </w:t>
      </w:r>
      <w:r w:rsidRPr="00DB77E5">
        <w:rPr>
          <w:rFonts w:ascii="Times New Roman" w:hAnsi="Times New Roman"/>
          <w:b/>
          <w:i/>
          <w:iCs/>
          <w:color w:val="000000" w:themeColor="text1"/>
          <w:sz w:val="28"/>
          <w:szCs w:val="28"/>
          <w:lang w:val="vi-VN"/>
        </w:rPr>
        <w:t>Viện Nghi</w:t>
      </w:r>
      <w:r w:rsidRPr="00DB77E5">
        <w:rPr>
          <w:rFonts w:ascii="Times New Roman" w:hAnsi="Times New Roman"/>
          <w:b/>
          <w:i/>
          <w:iCs/>
          <w:color w:val="000000" w:themeColor="text1"/>
          <w:sz w:val="28"/>
          <w:szCs w:val="28"/>
        </w:rPr>
        <w:t>ên c</w:t>
      </w:r>
      <w:r w:rsidRPr="00DB77E5">
        <w:rPr>
          <w:rFonts w:ascii="Times New Roman" w:hAnsi="Times New Roman"/>
          <w:b/>
          <w:i/>
          <w:iCs/>
          <w:color w:val="000000" w:themeColor="text1"/>
          <w:sz w:val="28"/>
          <w:szCs w:val="28"/>
          <w:lang w:val="vi-VN"/>
        </w:rPr>
        <w:t>ứu Thị trường – Truyền th</w:t>
      </w:r>
      <w:r w:rsidRPr="00DB77E5">
        <w:rPr>
          <w:rFonts w:ascii="Times New Roman" w:hAnsi="Times New Roman"/>
          <w:b/>
          <w:i/>
          <w:iCs/>
          <w:color w:val="000000" w:themeColor="text1"/>
          <w:sz w:val="28"/>
          <w:szCs w:val="28"/>
        </w:rPr>
        <w:t>ông Qu</w:t>
      </w:r>
      <w:r w:rsidRPr="00DB77E5">
        <w:rPr>
          <w:rFonts w:ascii="Times New Roman" w:hAnsi="Times New Roman"/>
          <w:b/>
          <w:i/>
          <w:iCs/>
          <w:color w:val="000000" w:themeColor="text1"/>
          <w:sz w:val="28"/>
          <w:szCs w:val="28"/>
          <w:lang w:val="vi-VN"/>
        </w:rPr>
        <w:t>ốc tế (IMRIC)</w:t>
      </w:r>
    </w:p>
    <w:p w14:paraId="4E631174" w14:textId="77777777" w:rsidR="00DB77E5" w:rsidRPr="00DB77E5" w:rsidRDefault="00DB77E5" w:rsidP="00BA3B11">
      <w:pPr>
        <w:shd w:val="clear" w:color="auto" w:fill="FFFFFF"/>
        <w:spacing w:before="75" w:after="75" w:line="240" w:lineRule="auto"/>
        <w:ind w:left="1440" w:firstLine="720"/>
        <w:jc w:val="both"/>
        <w:textAlignment w:val="baseline"/>
        <w:outlineLvl w:val="1"/>
        <w:rPr>
          <w:rFonts w:ascii="Times New Roman" w:hAnsi="Times New Roman"/>
          <w:b/>
          <w:i/>
          <w:color w:val="000000" w:themeColor="text1"/>
          <w:sz w:val="28"/>
          <w:szCs w:val="28"/>
          <w:shd w:val="clear" w:color="auto" w:fill="FFFFFF"/>
        </w:rPr>
      </w:pPr>
    </w:p>
    <w:p w14:paraId="76BCB1FA" w14:textId="5990EB11" w:rsidR="00BA3B11" w:rsidRPr="00EE68EF" w:rsidRDefault="00EE68EF" w:rsidP="00EE68EF">
      <w:pPr>
        <w:shd w:val="clear" w:color="auto" w:fill="FFFFFF"/>
        <w:spacing w:after="0" w:line="288" w:lineRule="auto"/>
        <w:ind w:firstLine="576"/>
        <w:jc w:val="both"/>
        <w:textAlignment w:val="baseline"/>
        <w:outlineLvl w:val="1"/>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1</w:t>
      </w:r>
      <w:r w:rsidR="00BA3B11" w:rsidRPr="00EE68EF">
        <w:rPr>
          <w:rFonts w:ascii="Times New Roman" w:eastAsia="Times New Roman" w:hAnsi="Times New Roman" w:cs="Times New Roman"/>
          <w:b/>
          <w:bCs/>
          <w:i/>
          <w:color w:val="000000" w:themeColor="text1"/>
          <w:sz w:val="28"/>
          <w:szCs w:val="28"/>
        </w:rPr>
        <w:t xml:space="preserve">. </w:t>
      </w:r>
      <w:r>
        <w:rPr>
          <w:rFonts w:ascii="Times New Roman" w:eastAsia="Times New Roman" w:hAnsi="Times New Roman" w:cs="Times New Roman"/>
          <w:b/>
          <w:bCs/>
          <w:i/>
          <w:color w:val="000000" w:themeColor="text1"/>
          <w:sz w:val="28"/>
          <w:szCs w:val="28"/>
        </w:rPr>
        <w:t>P</w:t>
      </w:r>
      <w:r w:rsidR="00BA3B11" w:rsidRPr="00EE68EF">
        <w:rPr>
          <w:rFonts w:ascii="Times New Roman" w:eastAsia="Times New Roman" w:hAnsi="Times New Roman" w:cs="Times New Roman"/>
          <w:b/>
          <w:bCs/>
          <w:i/>
          <w:color w:val="000000" w:themeColor="text1"/>
          <w:sz w:val="28"/>
          <w:szCs w:val="28"/>
        </w:rPr>
        <w:t>háp luật về cho vay</w:t>
      </w:r>
      <w:r>
        <w:rPr>
          <w:rFonts w:ascii="Times New Roman" w:eastAsia="Times New Roman" w:hAnsi="Times New Roman" w:cs="Times New Roman"/>
          <w:b/>
          <w:bCs/>
          <w:i/>
          <w:color w:val="000000" w:themeColor="text1"/>
          <w:sz w:val="28"/>
          <w:szCs w:val="28"/>
        </w:rPr>
        <w:t xml:space="preserve"> của </w:t>
      </w:r>
      <w:r w:rsidRPr="00EE68EF">
        <w:rPr>
          <w:rFonts w:ascii="Times New Roman" w:hAnsi="Times New Roman"/>
          <w:b/>
          <w:bCs/>
          <w:i/>
          <w:color w:val="000000" w:themeColor="text1"/>
          <w:sz w:val="28"/>
          <w:szCs w:val="28"/>
          <w:lang w:val="pt-BR"/>
        </w:rPr>
        <w:t>các tổ chức tín dụng</w:t>
      </w:r>
      <w:r>
        <w:rPr>
          <w:rFonts w:ascii="Times New Roman" w:hAnsi="Times New Roman"/>
          <w:b/>
          <w:bCs/>
          <w:i/>
          <w:color w:val="000000" w:themeColor="text1"/>
          <w:sz w:val="28"/>
          <w:szCs w:val="28"/>
          <w:lang w:val="pt-BR"/>
        </w:rPr>
        <w:t>:</w:t>
      </w:r>
    </w:p>
    <w:p w14:paraId="4004B616"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Năm 1957, đối với loại cho vay ngắn hạn, ngành Ngân hàng chỉ được cho vay đôì với một </w:t>
      </w:r>
      <w:r w:rsidRPr="00EE68EF">
        <w:rPr>
          <w:rFonts w:ascii="Times New Roman" w:eastAsia="Times New Roman" w:hAnsi="Times New Roman" w:cs="Times New Roman"/>
          <w:iCs/>
          <w:color w:val="000000" w:themeColor="text1"/>
          <w:sz w:val="28"/>
          <w:szCs w:val="28"/>
          <w:bdr w:val="none" w:sz="0" w:space="0" w:color="auto" w:frame="1"/>
        </w:rPr>
        <w:t>số</w:t>
      </w:r>
      <w:r w:rsidRPr="00EE68EF">
        <w:rPr>
          <w:rFonts w:ascii="Times New Roman" w:eastAsia="Times New Roman" w:hAnsi="Times New Roman" w:cs="Times New Roman"/>
          <w:color w:val="000000" w:themeColor="text1"/>
          <w:sz w:val="28"/>
          <w:szCs w:val="28"/>
        </w:rPr>
        <w:t> đối tượng. Ví dụ, cho vay các xí nghiệp công nghiệp quốc doanh theo 4 loại cho vay gồm: cho vay dự trữ vật tư trên mức tiêu chuẩn và các chi phí sản xuất theo mùa; cho vay để thanh toán; cho vay nhu cầu tạm thời và cho vay để sửa chữa lớn.</w:t>
      </w:r>
    </w:p>
    <w:p w14:paraId="0FCA43FC"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Hoặc, cho các nông trường quốc doanh theo 6 loại cho vay gồm: cho vay dự trữ vật tư theo mùa, cho vay chi phí về trồng trọt và chế biến, cho vay chi phí về chăn nuôi, cho vay nhu cầu tạm thòi, cho vay sửa chữa lớn và cho vay thanh toán.</w:t>
      </w:r>
    </w:p>
    <w:p w14:paraId="7D83385A"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Hoặc, cho vay mậu dịch quốc doanh theo 5 loại gồm: cho vay để dự trữ hàng hóa theo kế hoạch và luân chuyển hàng hóa, cho vay ứng trước tiền đặt mua hàng, cho vay về nhu cầu tạm thời, cho vay thanh toán và cho vay sửa chữa lớn. “Đơn vị mậu dịch phải thanh toán xong số nợ quá hạn rồi mới được xin vay khoản khác”.</w:t>
      </w:r>
    </w:p>
    <w:p w14:paraId="2E15D2BA"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Vào thời gian này, ngành Ngân hàng chủ yếu cho vay theo kế hoạch và chỉ đạo của Nhà nước.</w:t>
      </w:r>
    </w:p>
    <w:p w14:paraId="1641F121"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Từ tháng 01/1996 hoạt động cho vay của các tổ chức ngân hàng, tín dụng, công ty tài chính và hoạt động cho vay vốn của các cơ sở khác được pháp luật cho phép (trừ hoạt động kinh doanh cầm đồ) không phải nộp thuế doanh thu (nay là thuế giá trị gia tăng). (Khoản 4 Điều 2 Luật Thuế doanh thu năm 1990)</w:t>
      </w:r>
    </w:p>
    <w:p w14:paraId="7ACC445E"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Luật Các tổ chức tín dụng năm 1997 (sửa đổi, bổ sung năm 2004) đã từng quy định: khách hàng vay vốn có quyền “khiếu nại, khởi kiện việc từ chối cho vay không có căn cứ” của tổ chức tín dụng. Điều này chỉ phù hợp với trường hợp cho vay theo chính sách, chứ không đúng với quan hệ tự nguyện giữa khách hàng và ngân hàng.</w:t>
      </w:r>
    </w:p>
    <w:p w14:paraId="0967D1FF"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Từ tháng 10/2000 đến tháng 4/2011, pháp luật cho phép việc huy động vốn và cho vay bằng vàng</w:t>
      </w:r>
    </w:p>
    <w:p w14:paraId="6EEFE34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Trong giai đoạn 1998 - 2016, quy định về cho vay được gọi là quy chế, đồng thời ban hành một văn bản chung cho các lĩnh vực và thời hạn vay.</w:t>
      </w:r>
    </w:p>
    <w:p w14:paraId="03EDF043"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Riêng Quyết định số 1627/2001/QĐ-NHNN có hiệu lực kéo dài 15 năm do không được xử lý thay đổi kịp thời, với nhiều quy định trái luật và 5 lần sửa đổi, bổ sung.</w:t>
      </w:r>
    </w:p>
    <w:p w14:paraId="5A26DDEE"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tổ chức được phép hoạt động cho vay chuyên nghiệp gồm: các </w:t>
      </w:r>
      <w:r w:rsidRPr="00EE68EF">
        <w:rPr>
          <w:rFonts w:ascii="Times New Roman" w:eastAsia="Times New Roman" w:hAnsi="Times New Roman" w:cs="Times New Roman"/>
          <w:i/>
          <w:iCs/>
          <w:color w:val="000000" w:themeColor="text1"/>
          <w:sz w:val="28"/>
          <w:szCs w:val="28"/>
          <w:bdr w:val="none" w:sz="0" w:space="0" w:color="auto" w:frame="1"/>
        </w:rPr>
        <w:t>tổ</w:t>
      </w:r>
      <w:r w:rsidRPr="00EE68EF">
        <w:rPr>
          <w:rFonts w:ascii="Times New Roman" w:eastAsia="Times New Roman" w:hAnsi="Times New Roman" w:cs="Times New Roman"/>
          <w:color w:val="000000" w:themeColor="text1"/>
          <w:sz w:val="28"/>
          <w:szCs w:val="28"/>
        </w:rPr>
        <w:t> chức tín dụng (bao gồm các tổ chức do Ngân hàng Nhà nước Việt Nam cấp phép là ngân hàng thương mại, ngân hàng chính sách xã hội, ngân hàng hợp tác xã, chi nhánh ngân hàng nước ngoài, công ty tài chính, công ty cho thuê tài chính, quỹ tín dụng nhân dân và tổ chức tài chính vi mô); các tổ chức khác không phải là tổ chức tín dụng nhưng cũng được phép hoạt động cho vay chuyên nghiệp như Ngân hàng phát triển Việt Nam (VDB), quỹ đầu tư phát triển địa phương (Bộ Tài chính quản lý); dịch vụ cầm đồ (Bộ Công an quản lý về điều kiện kinh doanh).</w:t>
      </w:r>
    </w:p>
    <w:p w14:paraId="201CD804"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Trước năm 2005, khách hàng vay vốn của các tổ chức tín dụng, ngoài cá nhân và pháp nhân, còn có hộ gia đình, tổ hợp tác, doanh nghiệp tư nhân và công ty hợp doanh (tại thời điểm đó chưa có tư cách pháp nhân).</w:t>
      </w:r>
    </w:p>
    <w:p w14:paraId="0D97E228"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Từ năm 2005 trở đi, Ngân hàng Nhà nước chỉ quy định, khách hàng vay vốn là cá nhân và pháp nhân (khoản 1 Điều 1 quyết định 127/2005/QĐ-NHNN), tuy nhiên trên thực tế vẫn xảy ra hiện tượng cho vay cả các tổ chức không có tư cách pháp nhân.</w:t>
      </w:r>
    </w:p>
    <w:p w14:paraId="16CBBDB3"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Từ ngày 15/3/2017, khách hàng vay vốn tại tổ chức tín dụng chỉ gồm hai nhóm là pháp nhân và cá nhân (khoản 3 Điều 2 </w:t>
      </w:r>
      <w:hyperlink r:id="rId17" w:tgtFrame="_blank" w:history="1">
        <w:r w:rsidRPr="00EE68EF">
          <w:rPr>
            <w:rFonts w:ascii="Times New Roman" w:eastAsia="Times New Roman" w:hAnsi="Times New Roman" w:cs="Times New Roman"/>
            <w:color w:val="000000" w:themeColor="text1"/>
            <w:sz w:val="28"/>
            <w:szCs w:val="28"/>
            <w:bdr w:val="none" w:sz="0" w:space="0" w:color="auto" w:frame="1"/>
          </w:rPr>
          <w:t>Thông tư 39/2016/TT-NHNN</w:t>
        </w:r>
      </w:hyperlink>
      <w:r w:rsidRPr="00EE68EF">
        <w:rPr>
          <w:rFonts w:ascii="Times New Roman" w:eastAsia="Times New Roman" w:hAnsi="Times New Roman" w:cs="Times New Roman"/>
          <w:color w:val="000000" w:themeColor="text1"/>
          <w:sz w:val="28"/>
          <w:szCs w:val="28"/>
        </w:rPr>
        <w:t>). Điều này là hoàn toàn phù hợp với quy định của Bộ luật Dân sự năm 2015, chủ thể giao dịch dân sự chỉ còn pháp nhân và cá nhân. Trường hợp hộ gia đình, </w:t>
      </w:r>
      <w:r w:rsidRPr="00EE68EF">
        <w:rPr>
          <w:rFonts w:ascii="Times New Roman" w:eastAsia="Times New Roman" w:hAnsi="Times New Roman" w:cs="Times New Roman"/>
          <w:i/>
          <w:iCs/>
          <w:color w:val="000000" w:themeColor="text1"/>
          <w:sz w:val="28"/>
          <w:szCs w:val="28"/>
          <w:bdr w:val="none" w:sz="0" w:space="0" w:color="auto" w:frame="1"/>
        </w:rPr>
        <w:t>tổ</w:t>
      </w:r>
      <w:r w:rsidRPr="00EE68EF">
        <w:rPr>
          <w:rFonts w:ascii="Times New Roman" w:eastAsia="Times New Roman" w:hAnsi="Times New Roman" w:cs="Times New Roman"/>
          <w:color w:val="000000" w:themeColor="text1"/>
          <w:sz w:val="28"/>
          <w:szCs w:val="28"/>
        </w:rPr>
        <w:t> hợp tác, tổ chức khác không có tư cách pháp nhân tham gia quan hệ dân sự thì các thành viên của hộ gia đình, tổ hợp tác, </w:t>
      </w:r>
      <w:r w:rsidRPr="00EE68EF">
        <w:rPr>
          <w:rFonts w:ascii="Times New Roman" w:eastAsia="Times New Roman" w:hAnsi="Times New Roman" w:cs="Times New Roman"/>
          <w:iCs/>
          <w:color w:val="000000" w:themeColor="text1"/>
          <w:sz w:val="28"/>
          <w:szCs w:val="28"/>
          <w:bdr w:val="none" w:sz="0" w:space="0" w:color="auto" w:frame="1"/>
        </w:rPr>
        <w:t>tổ</w:t>
      </w:r>
      <w:r w:rsidRPr="00EE68EF">
        <w:rPr>
          <w:rFonts w:ascii="Times New Roman" w:eastAsia="Times New Roman" w:hAnsi="Times New Roman" w:cs="Times New Roman"/>
          <w:color w:val="000000" w:themeColor="text1"/>
          <w:sz w:val="28"/>
          <w:szCs w:val="28"/>
        </w:rPr>
        <w:t> chức khác không có tư cách pháp nhân là chủ thể tham gia xác lập, thực hiện giao dịch dân sự hoặc ủy quyền cho người đại diện tham gia xác lập, thực hiện giao dịch dân sự.</w:t>
      </w:r>
    </w:p>
    <w:p w14:paraId="2139331A"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Tuy nhiên, bên cạnh quy định trên của </w:t>
      </w:r>
      <w:hyperlink r:id="rId18" w:tgtFrame="_blank" w:history="1">
        <w:r w:rsidRPr="00EE68EF">
          <w:rPr>
            <w:rFonts w:ascii="Times New Roman" w:eastAsia="Times New Roman" w:hAnsi="Times New Roman" w:cs="Times New Roman"/>
            <w:color w:val="000000" w:themeColor="text1"/>
            <w:sz w:val="28"/>
            <w:szCs w:val="28"/>
            <w:bdr w:val="none" w:sz="0" w:space="0" w:color="auto" w:frame="1"/>
          </w:rPr>
          <w:t>Bộ luật Dân sự năm 2015</w:t>
        </w:r>
      </w:hyperlink>
      <w:r w:rsidRPr="00EE68EF">
        <w:rPr>
          <w:rFonts w:ascii="Times New Roman" w:eastAsia="Times New Roman" w:hAnsi="Times New Roman" w:cs="Times New Roman"/>
          <w:color w:val="000000" w:themeColor="text1"/>
          <w:sz w:val="28"/>
          <w:szCs w:val="28"/>
        </w:rPr>
        <w:t xml:space="preserve"> còn rất nhiều đạo luật và văn bản dưới luật hiện hành quy định về tư cách pháp lý và việc tham gia vào giao dịch của các chủ thể là hộ gia đình, hộ kinh doanh, doanh nghiệp tư nhân, v.v… Vì vậy, cách xử lý hợp lý nhất là vẫn ghi đúng tên gọi của các chủ thể này là các tổ chức đã được pháp luật thừa nhận, nhưng bản chất quan hệ thì phải xử lý với tư cách của một hoặc toàn bộ các cá nhân trong tổ chức. Theo đó doanh nghiệp tư nhân và các tổ chức chỉ có một cá nhân cũng như hộ gia đình hay hộ kinh doanh </w:t>
      </w:r>
      <w:r w:rsidRPr="00EE68EF">
        <w:rPr>
          <w:rFonts w:ascii="Times New Roman" w:eastAsia="Times New Roman" w:hAnsi="Times New Roman" w:cs="Times New Roman"/>
          <w:color w:val="000000" w:themeColor="text1"/>
          <w:sz w:val="28"/>
          <w:szCs w:val="28"/>
        </w:rPr>
        <w:lastRenderedPageBreak/>
        <w:t>chỉ có một thành viên thì cả hình thức và nội dung pháp lý vẫn không có gì thay đổi so với trưóc đó. Bằng chứng là từ trước đến nay pháp luật đều quy định chủ doanh nghiệp tư nhân là người đại diện theo pháp luật, là nguyên đơn hoặc bị đơn tham gia tố tụng và phải chịu trách nhiệm đến cùng (trách nhiệm vô hạn) đối với nghĩa vụ của doanh nghệp tư nhân.</w:t>
      </w:r>
    </w:p>
    <w:p w14:paraId="473FF0E9" w14:textId="0FE16558"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color w:val="000000" w:themeColor="text1"/>
          <w:sz w:val="28"/>
          <w:szCs w:val="28"/>
        </w:rPr>
        <w:t> </w:t>
      </w:r>
      <w:r w:rsidR="00EE68EF">
        <w:rPr>
          <w:rFonts w:ascii="Times New Roman" w:eastAsia="Times New Roman" w:hAnsi="Times New Roman" w:cs="Times New Roman"/>
          <w:b/>
          <w:bCs/>
          <w:color w:val="000000" w:themeColor="text1"/>
          <w:sz w:val="28"/>
          <w:szCs w:val="28"/>
        </w:rPr>
        <w:t>2</w:t>
      </w:r>
      <w:r w:rsidRPr="00EE68EF">
        <w:rPr>
          <w:rFonts w:ascii="Times New Roman" w:eastAsia="Times New Roman" w:hAnsi="Times New Roman" w:cs="Times New Roman"/>
          <w:b/>
          <w:bCs/>
          <w:color w:val="000000" w:themeColor="text1"/>
          <w:sz w:val="28"/>
          <w:szCs w:val="28"/>
        </w:rPr>
        <w:t>. Pháp luật về điều kiện cho vay</w:t>
      </w:r>
    </w:p>
    <w:p w14:paraId="7B09FAD9"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Khác với pháp luật dân sự, thương mại nói chung, pháp luật ngân hàng quy định khá chặt chẽ về điều kiện cho vay của các tổ chức tín dụng. Vì việc cho vay của ngân hàng giống như việc bán chịu hàng hóa, đôi khi được ví như cầm dao đằng lưỡi, có nhiều rủi ro ảnh hưởng đến an toàn hệ thống ngân hàng.</w:t>
      </w:r>
    </w:p>
    <w:p w14:paraId="3C0A3704" w14:textId="09360342"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i/>
          <w:color w:val="000000" w:themeColor="text1"/>
          <w:sz w:val="28"/>
          <w:szCs w:val="28"/>
        </w:rPr>
        <w:t> </w:t>
      </w:r>
      <w:r w:rsidR="00EE68EF" w:rsidRPr="00EE68EF">
        <w:rPr>
          <w:rFonts w:ascii="Times New Roman" w:eastAsia="Times New Roman" w:hAnsi="Times New Roman" w:cs="Times New Roman"/>
          <w:b/>
          <w:bCs/>
          <w:i/>
          <w:color w:val="000000" w:themeColor="text1"/>
          <w:sz w:val="28"/>
          <w:szCs w:val="28"/>
        </w:rPr>
        <w:t>2</w:t>
      </w:r>
      <w:r w:rsidRPr="00EE68EF">
        <w:rPr>
          <w:rFonts w:ascii="Times New Roman" w:eastAsia="Times New Roman" w:hAnsi="Times New Roman" w:cs="Times New Roman"/>
          <w:b/>
          <w:bCs/>
          <w:i/>
          <w:color w:val="000000" w:themeColor="text1"/>
          <w:sz w:val="28"/>
          <w:szCs w:val="28"/>
        </w:rPr>
        <w:t>.1. Pháp luật về chủ thể vay</w:t>
      </w:r>
    </w:p>
    <w:p w14:paraId="6EED632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Năm 1992, để đề phòng rủi ro, bên vay vốn của các ngân hàng bảo đảm giá trị theo giá vàng là các tổ chức kinh tế cần mua bảo hiểm nhà nước. (Điều 9 Quyết định số 42/QĐ-NH1)</w:t>
      </w:r>
    </w:p>
    <w:p w14:paraId="2400B831"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Ngân hàng Nhà nước cũng đã giải thích, khách hàng vay vốn tại tổ chức tín dụng chỉ là pháp nhân, cá nhân. Đối với tổ chức không có tư cách pháp nhân như tổ hợp tác, hộ gia đình, doanh nghiệp tư nhân thì tổ chức tín dụng xem xét cho vay đối với cá nhân (một hoặc một </w:t>
      </w:r>
      <w:r w:rsidRPr="00EE68EF">
        <w:rPr>
          <w:rFonts w:ascii="Times New Roman" w:eastAsia="Times New Roman" w:hAnsi="Times New Roman" w:cs="Times New Roman"/>
          <w:i/>
          <w:iCs/>
          <w:color w:val="000000" w:themeColor="text1"/>
          <w:sz w:val="28"/>
          <w:szCs w:val="28"/>
          <w:bdr w:val="none" w:sz="0" w:space="0" w:color="auto" w:frame="1"/>
        </w:rPr>
        <w:t>số</w:t>
      </w:r>
      <w:r w:rsidRPr="00EE68EF">
        <w:rPr>
          <w:rFonts w:ascii="Times New Roman" w:eastAsia="Times New Roman" w:hAnsi="Times New Roman" w:cs="Times New Roman"/>
          <w:color w:val="000000" w:themeColor="text1"/>
          <w:sz w:val="28"/>
          <w:szCs w:val="28"/>
        </w:rPr>
        <w:t> cá nhân).</w:t>
      </w:r>
    </w:p>
    <w:p w14:paraId="4AA6E32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Việc cho vay phục vụ nhu cầu đời sống của tổ chức tín dụng nhằm thanh toán các chi phí cho mục đích tiêu dùng, sinh hoạt của cá nhân vay vốn và có thể gồm cả gia đình của cá nhân vay vốn. Trong trường hợp này, gia đình của người vay vốn được xác định là tập hợp những người gắn bó với nhau do hôn nhân, quan hệ huyết thống hoặc quan hệ nuôi dưỡng, làm phát sinh các quyền và nghĩa vụ giữa họ với nhau theo quy định của Luật Hôn nhân và gia đình. (khoản 2 Điều 3 </w:t>
      </w:r>
      <w:hyperlink r:id="rId19" w:tgtFrame="_blank" w:history="1">
        <w:r w:rsidRPr="00EE68EF">
          <w:rPr>
            <w:rFonts w:ascii="Times New Roman" w:eastAsia="Times New Roman" w:hAnsi="Times New Roman" w:cs="Times New Roman"/>
            <w:color w:val="000000" w:themeColor="text1"/>
            <w:sz w:val="28"/>
            <w:szCs w:val="28"/>
            <w:bdr w:val="none" w:sz="0" w:space="0" w:color="auto" w:frame="1"/>
          </w:rPr>
          <w:t>Luật hôn nhân và gia đình năm 2014</w:t>
        </w:r>
      </w:hyperlink>
      <w:r w:rsidRPr="00EE68EF">
        <w:rPr>
          <w:rFonts w:ascii="Times New Roman" w:eastAsia="Times New Roman" w:hAnsi="Times New Roman" w:cs="Times New Roman"/>
          <w:color w:val="000000" w:themeColor="text1"/>
          <w:sz w:val="28"/>
          <w:szCs w:val="28"/>
        </w:rPr>
        <w:t>)</w:t>
      </w:r>
    </w:p>
    <w:p w14:paraId="411496D7" w14:textId="24CCB048" w:rsidR="00BA3B11" w:rsidRPr="00EE68EF" w:rsidRDefault="00EE68EF" w:rsidP="00EE68EF">
      <w:pPr>
        <w:shd w:val="clear" w:color="auto" w:fill="FFFFFF"/>
        <w:spacing w:after="0" w:line="288" w:lineRule="auto"/>
        <w:ind w:firstLine="576"/>
        <w:jc w:val="both"/>
        <w:textAlignment w:val="baseline"/>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2</w:t>
      </w:r>
      <w:r w:rsidR="00BA3B11" w:rsidRPr="00EE68EF">
        <w:rPr>
          <w:rFonts w:ascii="Times New Roman" w:eastAsia="Times New Roman" w:hAnsi="Times New Roman" w:cs="Times New Roman"/>
          <w:b/>
          <w:bCs/>
          <w:i/>
          <w:color w:val="000000" w:themeColor="text1"/>
          <w:sz w:val="28"/>
          <w:szCs w:val="28"/>
        </w:rPr>
        <w:t>.2. Nguyên tắc cho vay và vay vốn</w:t>
      </w:r>
    </w:p>
    <w:p w14:paraId="4DEB83A8"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Pháp luật quy định nguyên tắc cho vay và vay vốn, từ cả hai phía là tổ chức tín dụng và khách hàng như sau:</w:t>
      </w:r>
    </w:p>
    <w:p w14:paraId="5F269DCB"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nhất,</w:t>
      </w:r>
      <w:r w:rsidRPr="00EE68EF">
        <w:rPr>
          <w:rFonts w:ascii="Times New Roman" w:eastAsia="Times New Roman" w:hAnsi="Times New Roman" w:cs="Times New Roman"/>
          <w:color w:val="000000" w:themeColor="text1"/>
          <w:sz w:val="28"/>
          <w:szCs w:val="28"/>
        </w:rPr>
        <w:t> hoạt động cho vay của tổ chức tín dụng đối với khách hàng được thực hiện theo thỏa thuận giữa hai bên, phù hợp vói quy định của pháp luật có liên quan, bao gồm cả pháp luật về bảo vệ môi trường.</w:t>
      </w:r>
    </w:p>
    <w:p w14:paraId="678065D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Pháp luật gần như không hạn chế mọi cá nhân, doanh nghiệp, pháp nhân giao dịch, đặc biệt là vay vốh ngân hàng. Vì vậy, ngân hàng dù không muốn vẫn phải </w:t>
      </w:r>
      <w:r w:rsidRPr="00EE68EF">
        <w:rPr>
          <w:rFonts w:ascii="Times New Roman" w:eastAsia="Times New Roman" w:hAnsi="Times New Roman" w:cs="Times New Roman"/>
          <w:color w:val="000000" w:themeColor="text1"/>
          <w:sz w:val="28"/>
          <w:szCs w:val="28"/>
        </w:rPr>
        <w:lastRenderedPageBreak/>
        <w:t>nắm bắt, thẩm định và kiểm soát việc thực thi đúng các quy định pháp luật trong mọi lĩnh vực, ngành nghề liên quan để bảo đảm an toàn cao nhất tiền cho vay của mình và tiền gửi của công chúng;</w:t>
      </w:r>
    </w:p>
    <w:p w14:paraId="43CEBA13"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hai,</w:t>
      </w:r>
      <w:r w:rsidRPr="00EE68EF">
        <w:rPr>
          <w:rFonts w:ascii="Times New Roman" w:eastAsia="Times New Roman" w:hAnsi="Times New Roman" w:cs="Times New Roman"/>
          <w:color w:val="000000" w:themeColor="text1"/>
          <w:sz w:val="28"/>
          <w:szCs w:val="28"/>
        </w:rPr>
        <w:t> khách hàng vay vốn tổ chức tín dụng phải bảo đảm sử dụng vốn vay đúng mục đích, hoàn trả nợ gốc và lãi tiền vay đúng thòi hạn đã thỏa thuận với tổ chức tín dụng.</w:t>
      </w:r>
    </w:p>
    <w:p w14:paraId="651F1363" w14:textId="43F299BA"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i/>
          <w:color w:val="000000" w:themeColor="text1"/>
          <w:sz w:val="28"/>
          <w:szCs w:val="28"/>
        </w:rPr>
        <w:t> </w:t>
      </w:r>
      <w:r w:rsidR="00EE68EF" w:rsidRPr="00EE68EF">
        <w:rPr>
          <w:rFonts w:ascii="Times New Roman" w:eastAsia="Times New Roman" w:hAnsi="Times New Roman" w:cs="Times New Roman"/>
          <w:b/>
          <w:bCs/>
          <w:i/>
          <w:color w:val="000000" w:themeColor="text1"/>
          <w:sz w:val="28"/>
          <w:szCs w:val="28"/>
        </w:rPr>
        <w:t>2</w:t>
      </w:r>
      <w:r w:rsidRPr="00EE68EF">
        <w:rPr>
          <w:rFonts w:ascii="Times New Roman" w:eastAsia="Times New Roman" w:hAnsi="Times New Roman" w:cs="Times New Roman"/>
          <w:b/>
          <w:bCs/>
          <w:i/>
          <w:color w:val="000000" w:themeColor="text1"/>
          <w:sz w:val="28"/>
          <w:szCs w:val="28"/>
        </w:rPr>
        <w:t>.3. Điều kiện xét duyệt vay vốn</w:t>
      </w:r>
    </w:p>
    <w:p w14:paraId="74379DB2"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Pháp luật ngân hàng quy định, tổ chức tín dụng xem xét, quyết định cho vay khi khách hàng có đủ các điều kiện sau đây: (Điều 7, khoản 2 Điều 13 Thông tư 39/2016/TT-NHNN)</w:t>
      </w:r>
    </w:p>
    <w:p w14:paraId="14A9A29D"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nhất,</w:t>
      </w:r>
      <w:r w:rsidRPr="00EE68EF">
        <w:rPr>
          <w:rFonts w:ascii="Times New Roman" w:eastAsia="Times New Roman" w:hAnsi="Times New Roman" w:cs="Times New Roman"/>
          <w:color w:val="000000" w:themeColor="text1"/>
          <w:sz w:val="28"/>
          <w:szCs w:val="28"/>
        </w:rPr>
        <w:t> khách hàng là pháp nhân có năng lực pháp luật dân sự theo quy định của pháp luật. Khách hàng là cá nhân từ đủ 18 tuổi trở lên có năng lực hành vi dân sự đầy đủ theo quy định của pháp luật hoặc từ đủ 15 tuổi đến chưa đủ 18 tuổi không bị mất hoặc hạn chế năng lực hành vi dân sự theo quy định của pháp luật;</w:t>
      </w:r>
    </w:p>
    <w:p w14:paraId="4AD018B5"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hai,</w:t>
      </w:r>
      <w:r w:rsidRPr="00EE68EF">
        <w:rPr>
          <w:rFonts w:ascii="Times New Roman" w:eastAsia="Times New Roman" w:hAnsi="Times New Roman" w:cs="Times New Roman"/>
          <w:color w:val="000000" w:themeColor="text1"/>
          <w:sz w:val="28"/>
          <w:szCs w:val="28"/>
        </w:rPr>
        <w:t> nhu cầu vay vốn để sử dụng vào mục đích hợp pháp (được hiểu là không phải là bất hợp pháp);</w:t>
      </w:r>
    </w:p>
    <w:p w14:paraId="2C50B005"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ba,</w:t>
      </w:r>
      <w:r w:rsidRPr="00EE68EF">
        <w:rPr>
          <w:rFonts w:ascii="Times New Roman" w:eastAsia="Times New Roman" w:hAnsi="Times New Roman" w:cs="Times New Roman"/>
          <w:color w:val="000000" w:themeColor="text1"/>
          <w:sz w:val="28"/>
          <w:szCs w:val="28"/>
        </w:rPr>
        <w:t> có phương án sử dụng vốn khả thi;</w:t>
      </w:r>
    </w:p>
    <w:p w14:paraId="2E7D889C"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tư,</w:t>
      </w:r>
      <w:r w:rsidRPr="00EE68EF">
        <w:rPr>
          <w:rFonts w:ascii="Times New Roman" w:eastAsia="Times New Roman" w:hAnsi="Times New Roman" w:cs="Times New Roman"/>
          <w:color w:val="000000" w:themeColor="text1"/>
          <w:sz w:val="28"/>
          <w:szCs w:val="28"/>
        </w:rPr>
        <w:t> có khả năng tài chính để trả nợ;</w:t>
      </w:r>
    </w:p>
    <w:p w14:paraId="20EE8584"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Thứ năm,</w:t>
      </w:r>
      <w:r w:rsidRPr="00EE68EF">
        <w:rPr>
          <w:rFonts w:ascii="Times New Roman" w:eastAsia="Times New Roman" w:hAnsi="Times New Roman" w:cs="Times New Roman"/>
          <w:color w:val="000000" w:themeColor="text1"/>
          <w:sz w:val="28"/>
          <w:szCs w:val="28"/>
        </w:rPr>
        <w:t> có tình hình tài chính minh bạch, lành mạnh theo đánh giá của tổ chức tín dụng, trong trường hợp khách hàng vay vốn ngắn hạn bằng đồng Việt Nam được hưởng mức ưu đãi về lãi suất không vượt quá mức lãi suất cho vay tối đa do Thống đốc Ngân hàng Nhà nước quyết định trong từng thời kỳ nhằm đáp ứng một </w:t>
      </w:r>
      <w:r w:rsidRPr="00EE68EF">
        <w:rPr>
          <w:rFonts w:ascii="Times New Roman" w:eastAsia="Times New Roman" w:hAnsi="Times New Roman" w:cs="Times New Roman"/>
          <w:i/>
          <w:iCs/>
          <w:color w:val="000000" w:themeColor="text1"/>
          <w:sz w:val="28"/>
          <w:szCs w:val="28"/>
          <w:bdr w:val="none" w:sz="0" w:space="0" w:color="auto" w:frame="1"/>
        </w:rPr>
        <w:t>số</w:t>
      </w:r>
      <w:r w:rsidRPr="00EE68EF">
        <w:rPr>
          <w:rFonts w:ascii="Times New Roman" w:eastAsia="Times New Roman" w:hAnsi="Times New Roman" w:cs="Times New Roman"/>
          <w:color w:val="000000" w:themeColor="text1"/>
          <w:sz w:val="28"/>
          <w:szCs w:val="28"/>
        </w:rPr>
        <w:t> nhu cầu vốn sau đây:</w:t>
      </w:r>
    </w:p>
    <w:p w14:paraId="7984DF4F"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Phục vụ lĩnh vực phát triển nông nghiệp, nông thôn theo quy định của Chính phủ về chính sách tín dụng phục vụ phát triển nông nghiệp, nông thôn;</w:t>
      </w:r>
    </w:p>
    <w:p w14:paraId="7977C90A"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Thực hiện phương án kinh doanh hàng xuất khẩu theo quy định tại Luật Thương mại và các văn bản hướng dẫn Luật Thương mại;</w:t>
      </w:r>
    </w:p>
    <w:p w14:paraId="036881D8"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Phục vụ kinh doanh của doanh nghiệp nhỏ và vừa theo quy định của Chính phủ về trợ giúp phát triển doanh nghiệp nhỏ và vừa;</w:t>
      </w:r>
    </w:p>
    <w:p w14:paraId="5B49DCA9"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Phát triển ngành công nghiệp hỗ trợ theo quy định của Chính phủ về phát triển công nghiệp hỗ trợ;</w:t>
      </w:r>
    </w:p>
    <w:p w14:paraId="3BA32B24"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Phục vụ kinh doanh của doanh nghiệp ứng dụng công nghệ cao theo quy định tại Luật Công nghệ cao và các văn bản hướng dẫn Luật Công nghệ cao.</w:t>
      </w:r>
    </w:p>
    <w:p w14:paraId="7DBAE58E"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Khách hàng vay vốn phải đáp ứng đầy đủ các điều kiện vay vốn, đồng thời phải cung cấp cho tổ chức tín dụng các tài liệu chứng minh đủ điều kiện vay vốn và các tài liệu khác do tổ chức tín dụng hướng dẫn, kể cả cho vay vốh cầm cố bằng tiền gửi tiết kiệm, vì cầm </w:t>
      </w:r>
      <w:r w:rsidRPr="00EE68EF">
        <w:rPr>
          <w:rFonts w:ascii="Times New Roman" w:eastAsia="Times New Roman" w:hAnsi="Times New Roman" w:cs="Times New Roman"/>
          <w:i/>
          <w:iCs/>
          <w:color w:val="000000" w:themeColor="text1"/>
          <w:sz w:val="28"/>
          <w:szCs w:val="28"/>
          <w:bdr w:val="none" w:sz="0" w:space="0" w:color="auto" w:frame="1"/>
        </w:rPr>
        <w:t>cố</w:t>
      </w:r>
      <w:r w:rsidRPr="00EE68EF">
        <w:rPr>
          <w:rFonts w:ascii="Times New Roman" w:eastAsia="Times New Roman" w:hAnsi="Times New Roman" w:cs="Times New Roman"/>
          <w:color w:val="000000" w:themeColor="text1"/>
          <w:sz w:val="28"/>
          <w:szCs w:val="28"/>
        </w:rPr>
        <w:t> tiền gửi tiết kiệm để vay vôn là một biện pháp bảo đảm tiền vay theo quy định của pháp luật.</w:t>
      </w:r>
    </w:p>
    <w:p w14:paraId="060584DB"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Như vậy, khi có nhu cầu vay vốn khách hàng không còn phải gửi cho các </w:t>
      </w:r>
      <w:r w:rsidRPr="00EE68EF">
        <w:rPr>
          <w:rFonts w:ascii="Times New Roman" w:eastAsia="Times New Roman" w:hAnsi="Times New Roman" w:cs="Times New Roman"/>
          <w:i/>
          <w:iCs/>
          <w:color w:val="000000" w:themeColor="text1"/>
          <w:sz w:val="28"/>
          <w:szCs w:val="28"/>
          <w:bdr w:val="none" w:sz="0" w:space="0" w:color="auto" w:frame="1"/>
        </w:rPr>
        <w:t>tổ</w:t>
      </w:r>
      <w:r w:rsidRPr="00EE68EF">
        <w:rPr>
          <w:rFonts w:ascii="Times New Roman" w:eastAsia="Times New Roman" w:hAnsi="Times New Roman" w:cs="Times New Roman"/>
          <w:color w:val="000000" w:themeColor="text1"/>
          <w:sz w:val="28"/>
          <w:szCs w:val="28"/>
        </w:rPr>
        <w:t> chức tín dụng “Giấy đề nghị vay vốn” như quy định trong nhiều năm trước kia.</w:t>
      </w:r>
    </w:p>
    <w:p w14:paraId="1CC67A3C"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Tổ chức tín dụng căn cứ vào phương án sử dụng vốn, khả năng tài chính của khách hàng, các giới hạn cấp tín dụng và khả năng nguồn vốn để thỏa thuận với khách hàng về mức cho vay (Điều 12 Thông tư 39/2016/TT-NHNN)</w:t>
      </w:r>
    </w:p>
    <w:p w14:paraId="054C1DE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tổ chức tín dụng phải tuân thủ quy định về việc giải ngân không dùng tiền mặt (</w:t>
      </w:r>
      <w:hyperlink r:id="rId20" w:tgtFrame="_blank" w:history="1">
        <w:r w:rsidRPr="00EE68EF">
          <w:rPr>
            <w:rFonts w:ascii="Times New Roman" w:eastAsia="Times New Roman" w:hAnsi="Times New Roman" w:cs="Times New Roman"/>
            <w:color w:val="000000" w:themeColor="text1"/>
            <w:sz w:val="28"/>
            <w:szCs w:val="28"/>
            <w:bdr w:val="none" w:sz="0" w:space="0" w:color="auto" w:frame="1"/>
          </w:rPr>
          <w:t>Thông tư số 21/2017/TT-NHNN</w:t>
        </w:r>
      </w:hyperlink>
      <w:r w:rsidRPr="00EE68EF">
        <w:rPr>
          <w:rFonts w:ascii="Times New Roman" w:eastAsia="Times New Roman" w:hAnsi="Times New Roman" w:cs="Times New Roman"/>
          <w:color w:val="000000" w:themeColor="text1"/>
          <w:sz w:val="28"/>
          <w:szCs w:val="28"/>
        </w:rPr>
        <w:t>)</w:t>
      </w:r>
    </w:p>
    <w:p w14:paraId="0AE0BF59" w14:textId="6F54C0D6" w:rsidR="00BA3B11"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Việc áp dụng biện pháp bảo đảm tiền vay hoặc không áp dụng biện pháp bảo đảm tiền vay do tổ chức tín dụng và khách hàng thỏa thuận phù hợp với quy định của pháp luật về biện pháp bảo đảm và pháp luật có liên quan. Tổ chức tín dụng quyết định và chịu trách nhiệm về việc cho vay không áp dụng biện pháp bảo đảm tiền vay.</w:t>
      </w:r>
    </w:p>
    <w:p w14:paraId="66F39C23" w14:textId="704DDB35" w:rsidR="00EE68EF" w:rsidRPr="00EE68EF" w:rsidRDefault="00EE68EF" w:rsidP="00E00424">
      <w:pPr>
        <w:pStyle w:val="ListParagraph"/>
        <w:numPr>
          <w:ilvl w:val="1"/>
          <w:numId w:val="53"/>
        </w:numPr>
        <w:shd w:val="clear" w:color="auto" w:fill="FFFFFF"/>
        <w:spacing w:after="0" w:line="288" w:lineRule="auto"/>
        <w:jc w:val="both"/>
        <w:textAlignment w:val="baseline"/>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Tổ chức tín dụng cho vay có quyền, nghĩa vụ </w:t>
      </w:r>
    </w:p>
    <w:p w14:paraId="2AB9E60C" w14:textId="77777777" w:rsidR="00EE68EF" w:rsidRPr="00EE68EF" w:rsidRDefault="00EE68EF"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Yêu cầu bên bảo đảm bằng tín chấp phối hợp trong việc kiểm tra sử dụng vốn vay và đôn đốc trả nợ;</w:t>
      </w:r>
    </w:p>
    <w:p w14:paraId="38BB3373" w14:textId="77777777" w:rsidR="00EE68EF" w:rsidRPr="00EE68EF" w:rsidRDefault="00EE68EF" w:rsidP="00EE68EF">
      <w:pPr>
        <w:shd w:val="clear" w:color="auto" w:fill="FFFFFF"/>
        <w:spacing w:after="0" w:line="288" w:lineRule="auto"/>
        <w:ind w:left="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Phối hợp với bên bảo đảm bằng tín chấp trong việc cho vay và thu hồi nợ;</w:t>
      </w:r>
      <w:r w:rsidRPr="00EE68EF">
        <w:rPr>
          <w:rFonts w:ascii="Times New Roman" w:eastAsia="Times New Roman" w:hAnsi="Times New Roman" w:cs="Times New Roman"/>
          <w:color w:val="000000" w:themeColor="text1"/>
          <w:sz w:val="28"/>
          <w:szCs w:val="28"/>
        </w:rPr>
        <w:br/>
        <w:t>- Quyền, nghĩa vụ khác theo thỏa thuận hoặc do Bộ luật Dân sự, luật khác liên quan quy định.</w:t>
      </w:r>
    </w:p>
    <w:p w14:paraId="43BCBB00" w14:textId="02A1009B" w:rsidR="00BA3B11" w:rsidRPr="00EE68EF" w:rsidRDefault="00BA3B11" w:rsidP="00E00424">
      <w:pPr>
        <w:pStyle w:val="ListParagraph"/>
        <w:numPr>
          <w:ilvl w:val="0"/>
          <w:numId w:val="52"/>
        </w:numPr>
        <w:shd w:val="clear" w:color="auto" w:fill="FFFFFF"/>
        <w:spacing w:after="0" w:line="288" w:lineRule="auto"/>
        <w:jc w:val="both"/>
        <w:textAlignment w:val="baseline"/>
        <w:outlineLvl w:val="2"/>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 xml:space="preserve">Một số lưu ý khi </w:t>
      </w:r>
      <w:r w:rsidR="00EE68EF" w:rsidRPr="00EE68EF">
        <w:rPr>
          <w:rFonts w:ascii="Times New Roman" w:eastAsia="Times New Roman" w:hAnsi="Times New Roman" w:cs="Times New Roman"/>
          <w:b/>
          <w:bCs/>
          <w:color w:val="000000" w:themeColor="text1"/>
          <w:sz w:val="28"/>
          <w:szCs w:val="28"/>
        </w:rPr>
        <w:t xml:space="preserve"> doanh nghiệp </w:t>
      </w:r>
      <w:r w:rsidRPr="00EE68EF">
        <w:rPr>
          <w:rFonts w:ascii="Times New Roman" w:eastAsia="Times New Roman" w:hAnsi="Times New Roman" w:cs="Times New Roman"/>
          <w:b/>
          <w:bCs/>
          <w:color w:val="000000" w:themeColor="text1"/>
          <w:sz w:val="28"/>
          <w:szCs w:val="28"/>
        </w:rPr>
        <w:t>vay tiền của các tổ chức tín dụng</w:t>
      </w:r>
      <w:r w:rsidR="00EE68EF">
        <w:rPr>
          <w:rFonts w:ascii="Times New Roman" w:eastAsia="Times New Roman" w:hAnsi="Times New Roman" w:cs="Times New Roman"/>
          <w:b/>
          <w:bCs/>
          <w:color w:val="000000" w:themeColor="text1"/>
          <w:sz w:val="28"/>
          <w:szCs w:val="28"/>
        </w:rPr>
        <w:t>:</w:t>
      </w:r>
    </w:p>
    <w:p w14:paraId="3A5ECAA3"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Xem xét cẩn trọng các điều khoản của Hợp đồng tín dụng. Yêu cầu cán bộ ngân hàng hướng dẫn, giải thích các quy định trong Hợp đồng tín dụng nếu chưa hiểu rõ nội dung.</w:t>
      </w:r>
    </w:p>
    <w:p w14:paraId="6190AEAC"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Không nên giao dịch, làm việc bên ngoài văn phòng của tổ chức tín dụng.</w:t>
      </w:r>
    </w:p>
    <w:p w14:paraId="0689E61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Không ký vào văn bản mà chưa có đầy đủ nội dung.</w:t>
      </w:r>
    </w:p>
    <w:p w14:paraId="734BA4AA"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Lưu ý các lời cam đam, bảo đảm của bên vay và phải đảm bảo và chịu trách nhiệm về việc cung cấp thông tin cho tổ chức tín dụng là chính xác, trung thực, đầy đủ.</w:t>
      </w:r>
    </w:p>
    <w:p w14:paraId="37F8F815"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 Bên vay là doanh nghiệp cần lưu ý kiểm tra quy định nội bộ của doanh nghiệp đó và pháp luật liên quan về các quy định cho vay.</w:t>
      </w:r>
    </w:p>
    <w:p w14:paraId="65520DE0" w14:textId="77777777" w:rsidR="00BA3B11" w:rsidRPr="00EE68EF" w:rsidRDefault="00BA3B11" w:rsidP="00EE68EF">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Sử dụng vốn vay đúng mục đích cũng như lưu ý về thời hạn cho vay, lãi suất áp dụng để đảm bảo đưa ra mức lãi suất đúng quy định cũng như để cân đối nguồn tiền trả nợ, đảm bảo thời hạn trả nợ, tránh việc phát sinh khoản nợ quá hạn.</w:t>
      </w:r>
    </w:p>
    <w:p w14:paraId="72F4EF3C" w14:textId="28F8F2D1"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b/>
          <w:color w:val="212121"/>
          <w:sz w:val="28"/>
          <w:szCs w:val="28"/>
        </w:rPr>
      </w:pPr>
      <w:r w:rsidRPr="00337463">
        <w:rPr>
          <w:rFonts w:ascii="Times New Roman" w:eastAsia="Times New Roman" w:hAnsi="Times New Roman" w:cs="Times New Roman"/>
          <w:b/>
          <w:color w:val="212121"/>
          <w:sz w:val="28"/>
          <w:szCs w:val="28"/>
        </w:rPr>
        <w:t>4. Thực trạng</w:t>
      </w:r>
      <w:r w:rsidR="0068794E" w:rsidRPr="00337463">
        <w:rPr>
          <w:rFonts w:ascii="Times New Roman" w:eastAsia="Times New Roman" w:hAnsi="Times New Roman" w:cs="Times New Roman"/>
          <w:b/>
          <w:color w:val="212121"/>
          <w:sz w:val="28"/>
          <w:szCs w:val="28"/>
        </w:rPr>
        <w:t xml:space="preserve"> </w:t>
      </w:r>
      <w:r w:rsidRPr="00337463">
        <w:rPr>
          <w:rFonts w:ascii="Times New Roman" w:eastAsia="Times New Roman" w:hAnsi="Times New Roman" w:cs="Times New Roman"/>
          <w:b/>
          <w:color w:val="212121"/>
          <w:sz w:val="28"/>
          <w:szCs w:val="28"/>
        </w:rPr>
        <w:t>huy động vốn từ vay các tổ chức tín dụng của DNNVV</w:t>
      </w:r>
    </w:p>
    <w:p w14:paraId="58FD2B61" w14:textId="3A83F258"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Doanh nghiệp nhỏ và vừa là bộ phận trong thành phần kinh tế tư nhân, có vai trò quan trọng trong sự phát triển của nền kinh tế, được Đảng và Nhà nước quan tâm ưu tiên phát triển. Thời gian qua, trên cơ sở bám sát các Nghị quyết của Quốc hội, chỉ đạo của Chính phủ, Thủ tướng Chính phủ, Ngân hàng Nhà nước đã ban hành, triển khai nhiều chính sách về tiền tệ, tín dụng và hoạt động ngân hàng tạo điều kiện thuận lợi cho doanh nghiệp nhỏ và vừa tiếp cận vốn".</w:t>
      </w:r>
    </w:p>
    <w:p w14:paraId="03760740"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Theo thống kê của Vụ Tín dụng các ngành kinh tế, bình quân giai đoạn 2018-2022, dư nợ tín dụng đối với doanh nghiệp nhỏ và vừa tăng 14,17%, cao hơn bình quân chung toàn nền kinh tế. Đến cuối năm 2022, dư nợ tín dụng đối với doanh nghiệp nhỏ và vừa tăng 8,28% so với cuối năm 2021, chiếm khoảng gần 19% tổng dư nợ tín dụng chung toàn nền kinh tế.  </w:t>
      </w:r>
    </w:p>
    <w:p w14:paraId="6200E203"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Trong đó, dư nợ tín dụng doanh nghiệp nhỏ và vừa phần lớn tập trung vào khu vực thương mại và dịch vụ (56,29%), công nghiệp và xây dựng (40,85%).</w:t>
      </w:r>
    </w:p>
    <w:p w14:paraId="56EB7D08"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Các ngân hàng thương mại Nhà nước đang đi đầu trong cho vay doanh nghiệp nhỏ và vừa, chiếm 48,05% tổng dư nợ. Khối ngân hàng thương mại cổ phần cho vay chiếm 47,43%. Khối ngân hàng nước ngoài, liên doanh, công ty tài chính và ngân hàng hợp tác xã tham gia cho vay 4,52%.</w:t>
      </w:r>
    </w:p>
    <w:p w14:paraId="232883FC"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Tại hội nghị, các tổ chức tín dụng và chuyên gia đã chỉ ra một số điểm mà doanh nghiệp nhỏ và vừa cần khắc phục để dễ dàng tiếp cận vốn tín dụng. </w:t>
      </w:r>
    </w:p>
    <w:p w14:paraId="645C197C"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bCs/>
          <w:color w:val="212121"/>
          <w:sz w:val="28"/>
          <w:szCs w:val="28"/>
        </w:rPr>
        <w:t>Theo Ngân hàng Nhà nước, giai đoạn 2018-2022, dư nợ tín dụng đối với doanh nghiệp nhỏ và vừa tăng 14,17%, cao hơn bình quân chung toàn nền kinh tế.</w:t>
      </w:r>
    </w:p>
    <w:p w14:paraId="3C4A9A11"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 xml:space="preserve">Theo Bộ Kế hoạch và Đầu tư, trên 65% doanh nghiệp cả nước hiện nay là doanh nghiệp siêu nhỏ. Quy mô vốn, vốn chủ sở hữu, năng lực tài chính, trình độ quản trị của những doanh nghiệp này còn hạn chế. Đáng nói hơn cả, nhiều doanh nghiệp có số liệu tài chính thiếu minh bạch, chính xác, thiếu tài sản bảo đảm. Phần lớn doanh nghiệp nhỏ và vừa không có báo cáo tài chính được kiểm toán, báo cáo </w:t>
      </w:r>
      <w:r w:rsidRPr="00337463">
        <w:rPr>
          <w:rFonts w:ascii="Times New Roman" w:eastAsia="Times New Roman" w:hAnsi="Times New Roman" w:cs="Times New Roman"/>
          <w:color w:val="212121"/>
          <w:sz w:val="28"/>
          <w:szCs w:val="28"/>
        </w:rPr>
        <w:lastRenderedPageBreak/>
        <w:t>thuế lại có sự khác biệt với báo cáo tài chính nội bộ, chứng từ kế toán không đáp ứng các chuẩn mực theo quy định nên ngân hàng khó xem xét cấp tín dụng.</w:t>
      </w:r>
    </w:p>
    <w:p w14:paraId="150546DC"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Đa số các doanh nghiệp nhỏ và vừa khó khăn trong việc tiếp cận vốn tín dụng là các doanh nghiệp mới thành lập, mới gia nhập các ngành, lĩnh vực kinh tế mới. Do đó, tổ chức tín dụng không có dữ liệu lịch sử hoạt động, không thể thực hiện xếp hạng tín nhiệm khi thẩm định, đánh giá khả năng trả nợ của doanh nghiệp. Các tổ chức tín dụng khó khăn trong việc quản lý dòng tiền do nhiều doanh nghiệp nhỏ và vừa chưa có sự hợp tác chặt chẽ với ngân hàng.</w:t>
      </w:r>
    </w:p>
    <w:p w14:paraId="067C20BF"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Doanh nghiệp nhỏ và vừa trong thời gian qua đã từng bước phục hồi sản xuất kinh doanh nhưng đến nay nhiều doanh nghiệp vẫn chưa đủ khả năng trả nợ hết các khoản nợ đã được cơ cấu lại và khoản nợ đến hạn; mặc dù được các ngân hàng thực hiện cơ cấu lại thời hạn trả nợ theo quy định thông thường nhưng vẫn gặp nhiều khó khăn do bị chuyển nhóm nợ, nên khó tiếp cận vốn vay để phục vụ sản xuất kinh doanh; hàng tồn kho chiếm tỷ trọng lớn trong kho không xuất được; bị khách hàng chiếm dụng vốn, công nợ cao.... </w:t>
      </w:r>
    </w:p>
    <w:p w14:paraId="6300E30D" w14:textId="7173729B"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Cộng đồng này cũng hạn chế về kỹ năng hoạch định, xây dựng phương án sản xuất kinh doanh nên các phương án sản xuất kinh doanh của doanh nghiệp thường thiếu tính khả thi và chưa có kế hoạch ứng phó với biến động thị trường, đặc biệt trong giai đoạn vừa qua nền kinh tế chịu nhiều tác động của đại dịch Covid-19. Đa phần các doanh nghiệp chưa nhận thức được tầm quan trọng của công tác lập dự án kinh doanh, chỉ coi công tác lập dự án là thủ tục để huy động vốn.</w:t>
      </w:r>
    </w:p>
    <w:p w14:paraId="3413553F"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Cuối cùng, doanh nghiệp nhỏ và vừa thường gặp khó khăn, vướng mắc pháp lý đối với tài sản thế chấp, vướng mắc tài sản là hợp đồng thế chấp tại khu công nghiệp; tình trạng quy hoạch treo, công trình trên đất không có giấy phép xây dựng hoặc chưa hoàn công…dẫn đến không đáp ứng được điều kiện vay vốn.</w:t>
      </w:r>
    </w:p>
    <w:p w14:paraId="64BA1E76" w14:textId="77777777" w:rsidR="00C9708B" w:rsidRPr="00337463" w:rsidRDefault="00C9708B" w:rsidP="00C9708B">
      <w:pPr>
        <w:shd w:val="clear" w:color="auto" w:fill="FFFFFF"/>
        <w:spacing w:after="0" w:line="288" w:lineRule="auto"/>
        <w:ind w:firstLine="720"/>
        <w:jc w:val="both"/>
        <w:rPr>
          <w:rFonts w:ascii="Times New Roman" w:eastAsia="Times New Roman" w:hAnsi="Times New Roman" w:cs="Times New Roman"/>
          <w:color w:val="212121"/>
          <w:sz w:val="28"/>
          <w:szCs w:val="28"/>
        </w:rPr>
      </w:pPr>
      <w:r w:rsidRPr="00337463">
        <w:rPr>
          <w:rFonts w:ascii="Times New Roman" w:eastAsia="Times New Roman" w:hAnsi="Times New Roman" w:cs="Times New Roman"/>
          <w:color w:val="212121"/>
          <w:sz w:val="28"/>
          <w:szCs w:val="28"/>
        </w:rPr>
        <w:t>Trong khi đó, các ngân hàng đang ngày càng đẩy mạnh áp dụng các chuẩn mực quản trị rủi ro theo thông lệ quốc tế, đòi hỏi ngày càng cao tính minh bạch về thông tin, tài chính, tài sản bảo đảm của khách hàng. Do đó, các ngân hàng cho biết không thể thực hiện các giải pháp về “hạ chuẩn” điều kiện cấp tín dụng.</w:t>
      </w:r>
    </w:p>
    <w:p w14:paraId="2E142B24" w14:textId="03FF5304" w:rsidR="001D1B6F" w:rsidRPr="00C70669" w:rsidRDefault="001D1B6F" w:rsidP="00C70669">
      <w:pPr>
        <w:pStyle w:val="ListParagraph"/>
        <w:numPr>
          <w:ilvl w:val="0"/>
          <w:numId w:val="56"/>
        </w:numPr>
        <w:shd w:val="clear" w:color="auto" w:fill="FFFFFF"/>
        <w:spacing w:after="0" w:line="288" w:lineRule="auto"/>
        <w:jc w:val="both"/>
        <w:rPr>
          <w:rFonts w:ascii="Times New Roman" w:eastAsia="Times New Roman" w:hAnsi="Times New Roman" w:cs="Times New Roman"/>
          <w:b/>
          <w:i/>
          <w:color w:val="212121"/>
          <w:sz w:val="30"/>
          <w:szCs w:val="30"/>
        </w:rPr>
      </w:pPr>
      <w:bookmarkStart w:id="7" w:name="_Hlk135991880"/>
      <w:r w:rsidRPr="00C70669">
        <w:rPr>
          <w:rFonts w:ascii="Times New Roman" w:hAnsi="Times New Roman" w:cs="Times New Roman"/>
          <w:b/>
          <w:i/>
          <w:color w:val="000000" w:themeColor="text1"/>
          <w:sz w:val="28"/>
          <w:szCs w:val="28"/>
          <w:lang w:val="pt-BR"/>
        </w:rPr>
        <w:t>Giải pháp</w:t>
      </w:r>
      <w:r w:rsidR="00C70669" w:rsidRPr="00C70669">
        <w:rPr>
          <w:rFonts w:ascii="Times New Roman" w:hAnsi="Times New Roman" w:cs="Times New Roman"/>
          <w:b/>
          <w:i/>
          <w:color w:val="000000" w:themeColor="text1"/>
          <w:sz w:val="28"/>
          <w:szCs w:val="28"/>
          <w:lang w:val="pt-BR"/>
        </w:rPr>
        <w:t xml:space="preserve"> </w:t>
      </w:r>
      <w:r w:rsidR="00C70669" w:rsidRPr="00C70669">
        <w:rPr>
          <w:rFonts w:ascii="Times New Roman" w:eastAsia="Times New Roman" w:hAnsi="Times New Roman" w:cs="Times New Roman"/>
          <w:b/>
          <w:i/>
          <w:color w:val="212121"/>
          <w:sz w:val="30"/>
          <w:szCs w:val="30"/>
        </w:rPr>
        <w:t>huy động vốn từ vay các tổ chức tín dụng của DNNVV</w:t>
      </w:r>
    </w:p>
    <w:p w14:paraId="5DA0DA49"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 xml:space="preserve">Hiện nay, các DNNVV rất hạn chế về vốn, công nghệ, nguồn nhân lực, kỹ năng quản trị và tiếp thị, thậm chí còn kinh doanh theo kinh nghiệm hay chụp giật. </w:t>
      </w:r>
      <w:r w:rsidRPr="001D1B6F">
        <w:rPr>
          <w:rFonts w:ascii="Times New Roman" w:eastAsia="Times New Roman" w:hAnsi="Times New Roman" w:cs="Times New Roman"/>
          <w:color w:val="000000" w:themeColor="text1"/>
          <w:sz w:val="28"/>
          <w:szCs w:val="28"/>
        </w:rPr>
        <w:lastRenderedPageBreak/>
        <w:t>Điều này khiến cho khối DNNVV chỉ đông về số lượng, nhưng chất lượng, hiệu quả kinh doanh, khả năng cạnh tranh không cao.</w:t>
      </w:r>
    </w:p>
    <w:p w14:paraId="7EE31B27" w14:textId="697C98C7" w:rsidR="001D1B6F" w:rsidRPr="001D1B6F" w:rsidRDefault="00C70669" w:rsidP="001D1B6F">
      <w:pPr>
        <w:spacing w:after="0" w:line="288" w:lineRule="auto"/>
        <w:ind w:firstLine="720"/>
        <w:jc w:val="both"/>
        <w:rPr>
          <w:rFonts w:ascii="Times New Roman" w:eastAsia="Times New Roman" w:hAnsi="Times New Roman" w:cs="Times New Roman"/>
          <w:color w:val="000000" w:themeColor="text1"/>
          <w:sz w:val="28"/>
          <w:szCs w:val="28"/>
        </w:rPr>
      </w:pPr>
      <w:r w:rsidRPr="00C70669">
        <w:rPr>
          <w:rFonts w:ascii="Times New Roman" w:eastAsia="Times New Roman" w:hAnsi="Times New Roman" w:cs="Times New Roman"/>
          <w:color w:val="000000" w:themeColor="text1"/>
          <w:sz w:val="28"/>
          <w:szCs w:val="28"/>
        </w:rPr>
        <w:t>T</w:t>
      </w:r>
      <w:r w:rsidR="001D1B6F" w:rsidRPr="001D1B6F">
        <w:rPr>
          <w:rFonts w:ascii="Times New Roman" w:eastAsia="Times New Roman" w:hAnsi="Times New Roman" w:cs="Times New Roman"/>
          <w:color w:val="000000" w:themeColor="text1"/>
          <w:sz w:val="28"/>
          <w:szCs w:val="28"/>
        </w:rPr>
        <w:t>rên thực tế, không một doanh nghiệp nào có thể đảm bảo đủ 100% vốn cho nhu cầu sản xuất kinh doanh. Vốn tín dụng của ngân hàng đã tạo điều kiện cho các doanh nghiệp đầu tư xây dựng cơ bản, mua sắm máy móc thiết bị cải tiến phương thức kinh doanh. Từ đó góp phần thúc đẩy tạo điều kiện cho quá trình phát triển sản xuất kinh doanh được liên tục.</w:t>
      </w:r>
    </w:p>
    <w:p w14:paraId="699591F0"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Khi sử dụng vốn tín dụng ngân hàng, các doanh nghiệp phải đảm bảo hoàn trả cả gốc lẫn lãi đúng hạn và tôn trọng các điều khoản của hợp đồng, cho dù doanh nghiệp làm ăn có hiệu quả hay không. Do đó, đòi hỏi các doanh nghiệp phải tìm cách sử dụng vốn có hiệu quả, tăng nhanh chóng vòng quay vốn, đảm bảo tỉ suất lợi nhuận phải lớn hơn lãi suất ngân hàng thì mới trả được nợ và kinh doanh có lãi.</w:t>
      </w:r>
    </w:p>
    <w:p w14:paraId="411FAC9B" w14:textId="77777777" w:rsidR="001D1B6F" w:rsidRPr="00337463" w:rsidRDefault="001D1B6F" w:rsidP="001D1B6F">
      <w:pPr>
        <w:spacing w:after="0" w:line="288" w:lineRule="auto"/>
        <w:ind w:firstLine="720"/>
        <w:jc w:val="both"/>
        <w:rPr>
          <w:rFonts w:ascii="Times New Roman" w:eastAsia="Times New Roman" w:hAnsi="Times New Roman" w:cs="Times New Roman"/>
          <w:i/>
          <w:color w:val="000000" w:themeColor="text1"/>
          <w:sz w:val="28"/>
          <w:szCs w:val="28"/>
        </w:rPr>
      </w:pPr>
      <w:r w:rsidRPr="00337463">
        <w:rPr>
          <w:rFonts w:ascii="Times New Roman" w:eastAsia="Times New Roman" w:hAnsi="Times New Roman" w:cs="Times New Roman"/>
          <w:bCs/>
          <w:i/>
          <w:color w:val="000000" w:themeColor="text1"/>
          <w:sz w:val="28"/>
          <w:szCs w:val="28"/>
        </w:rPr>
        <w:t>6 rào cản tiếp cận tín dụng</w:t>
      </w:r>
    </w:p>
    <w:p w14:paraId="28D4E0EE"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Mặc dù các ngân hàng cũng có nhiều giải pháp hỗ trợ cho các DNNVV. Mặc dù vậy, khả năng hấp thụ các nguồn vốn tín dụng ngân hàng chưa được cao. Điều tra của Hiệp hội cho thấy, có 59% DNNVV bị các ngân hàng từ chối hoặc chỉ được giải ngân một phần.</w:t>
      </w:r>
    </w:p>
    <w:p w14:paraId="09C5C43C" w14:textId="302B3A08"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Nguyên nhân chủ yếu là do tài sản thế chấp chưa đủ điều kiện và khả năng kinh doanh còn yếu kém. Các DNNVV vẫn còn rất hạn chế về vốn, công nghệ, nguồn nhân lực, kỹ năng quản trị và tiếp thị, thậm chí còn kinh doanh theo kinh nghiệm hay chụp giật</w:t>
      </w:r>
      <w:r w:rsidR="00C70669">
        <w:rPr>
          <w:rFonts w:ascii="Times New Roman" w:eastAsia="Times New Roman" w:hAnsi="Times New Roman" w:cs="Times New Roman"/>
          <w:color w:val="000000" w:themeColor="text1"/>
          <w:sz w:val="28"/>
          <w:szCs w:val="28"/>
        </w:rPr>
        <w:t>.</w:t>
      </w:r>
    </w:p>
    <w:p w14:paraId="0305E700"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Thứ nhất, nguồn ngân sách nhà nước hiện nay còn rất hạn chế. Một số chương trình, gói hỗ trợ chưa phát huy như công tác đào tạo, thị trường, giới thiệu về sản phẩm khoa học công nghệ, xúc tiến thương mại chưa được phát huy một cách tối đa.</w:t>
      </w:r>
    </w:p>
    <w:p w14:paraId="147B9D21"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Thứ hai, thông tin, tổ chức cung cấp thông tin về DNNVV còn hạn chế, chưa được minh bạch hóa.</w:t>
      </w:r>
    </w:p>
    <w:p w14:paraId="6547C252"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Thứ ba, việc vay vốn của DNNVV dễ dẫn đến nợ xấu vì tài sản đảm bảo chưa thuyết phục. Do đó, DNNVV khó tiếp cận vốn vay ngân hàng.</w:t>
      </w:r>
    </w:p>
    <w:p w14:paraId="0CF6B1A3"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Thứ tư, DNNVV chưa quan tâm đến đào tạo, tư vấn, thông tin từ các chương trình mà chủ yếu qua thông tin không chính thức, nên việc cập nhật chính sách còn hạn chế, dễ bị tác động bởi sự biến động môi trường.</w:t>
      </w:r>
    </w:p>
    <w:p w14:paraId="6F0978A1"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 xml:space="preserve">Thứ năm, trình độ quản lý của các DNNVV còn yếu kém, công nghệ lạc hậu, thông tin kém minh bạch, khả năng đáp ứng đủ điều kiện hồ sơ vay vốn ngân hàng </w:t>
      </w:r>
      <w:r w:rsidRPr="001D1B6F">
        <w:rPr>
          <w:rFonts w:ascii="Times New Roman" w:eastAsia="Times New Roman" w:hAnsi="Times New Roman" w:cs="Times New Roman"/>
          <w:color w:val="000000" w:themeColor="text1"/>
          <w:sz w:val="28"/>
          <w:szCs w:val="28"/>
        </w:rPr>
        <w:lastRenderedPageBreak/>
        <w:t>còn hạn chế. Nhiều DNNVV thiếu chiến lược kinh doanh, phương án kinh doanh chưa khả thi. Đặc biệt, DNNVV thường thiếu tài sản đảm bảo, chưa có thói quen mua bảo hiểm rủi ro, thiếu hiểu biết về cơ chế, chính sách, các gói tín dụng của các định chế tài chính, các chương trình bảo lãnh, hỗ trợ của Chính phủ/hiệp hội…</w:t>
      </w:r>
    </w:p>
    <w:p w14:paraId="59659E17" w14:textId="77777777"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Thứ sáu, một số tổ chức tín dụng chưa mặn mà với các khách hàng DNNVV, do quy mô, hiệu quả tín dụng không cao, thời gian thẩm định lâu hơn, một phần do quy mô và hiệu quả tín dụng không cao, trong khi rủi ro và chi phí hoạt động cao.</w:t>
      </w:r>
    </w:p>
    <w:p w14:paraId="2A6EBDE3" w14:textId="781075D6" w:rsidR="001D1B6F" w:rsidRPr="001D1B6F" w:rsidRDefault="001D1B6F" w:rsidP="001D1B6F">
      <w:pPr>
        <w:spacing w:after="0" w:line="288" w:lineRule="auto"/>
        <w:ind w:firstLine="720"/>
        <w:jc w:val="both"/>
        <w:rPr>
          <w:rFonts w:ascii="Times New Roman" w:eastAsia="Times New Roman" w:hAnsi="Times New Roman" w:cs="Times New Roman"/>
          <w:color w:val="000000" w:themeColor="text1"/>
          <w:sz w:val="28"/>
          <w:szCs w:val="28"/>
        </w:rPr>
      </w:pPr>
      <w:r w:rsidRPr="001D1B6F">
        <w:rPr>
          <w:rFonts w:ascii="Times New Roman" w:eastAsia="Times New Roman" w:hAnsi="Times New Roman" w:cs="Times New Roman"/>
          <w:color w:val="000000" w:themeColor="text1"/>
          <w:sz w:val="28"/>
          <w:szCs w:val="28"/>
        </w:rPr>
        <w:t xml:space="preserve">Dưới góc độ của </w:t>
      </w:r>
      <w:r w:rsidR="00C70669">
        <w:rPr>
          <w:rFonts w:ascii="Times New Roman" w:eastAsia="Times New Roman" w:hAnsi="Times New Roman" w:cs="Times New Roman"/>
          <w:color w:val="000000" w:themeColor="text1"/>
          <w:sz w:val="28"/>
          <w:szCs w:val="28"/>
        </w:rPr>
        <w:t>các tổ chức đại diện doanh nghiệp</w:t>
      </w:r>
      <w:r w:rsidRPr="001D1B6F">
        <w:rPr>
          <w:rFonts w:ascii="Times New Roman" w:eastAsia="Times New Roman" w:hAnsi="Times New Roman" w:cs="Times New Roman"/>
          <w:color w:val="000000" w:themeColor="text1"/>
          <w:sz w:val="28"/>
          <w:szCs w:val="28"/>
        </w:rPr>
        <w:t>, để phá vỡ những rào cản và nâng cao khả năng tiếp cận vốn tín dụng, cần tiếp tục cải thiện môi trường kinh doanh, nâng cao năng lực cạnh tranh quốc gia, hỗ trợ và tạo điều kiện phát triển doanh nghiệp.</w:t>
      </w:r>
    </w:p>
    <w:p w14:paraId="487D8D33" w14:textId="19EDCF9C" w:rsidR="001D1B6F" w:rsidRPr="001D1B6F" w:rsidRDefault="001D1B6F" w:rsidP="00C70669">
      <w:pPr>
        <w:spacing w:after="0" w:line="288" w:lineRule="auto"/>
        <w:ind w:firstLine="720"/>
        <w:jc w:val="both"/>
        <w:rPr>
          <w:rFonts w:ascii="Times New Roman" w:hAnsi="Times New Roman" w:cs="Times New Roman"/>
          <w:b/>
          <w:color w:val="000000" w:themeColor="text1"/>
          <w:sz w:val="28"/>
          <w:szCs w:val="28"/>
          <w:lang w:val="pt-BR"/>
        </w:rPr>
        <w:sectPr w:rsidR="001D1B6F" w:rsidRPr="001D1B6F">
          <w:pgSz w:w="12240" w:h="15840"/>
          <w:pgMar w:top="1440" w:right="1440" w:bottom="1440" w:left="1440" w:header="720" w:footer="720" w:gutter="0"/>
          <w:cols w:space="720"/>
          <w:docGrid w:linePitch="360"/>
        </w:sectPr>
      </w:pPr>
      <w:r w:rsidRPr="001D1B6F">
        <w:rPr>
          <w:rFonts w:ascii="Times New Roman" w:eastAsia="Times New Roman" w:hAnsi="Times New Roman" w:cs="Times New Roman"/>
          <w:color w:val="000000" w:themeColor="text1"/>
          <w:sz w:val="28"/>
          <w:szCs w:val="28"/>
        </w:rPr>
        <w:t>Các tổ chức tín dụng tiếp tục rà soát để cải tiến thủ tục vay vốn nhằm tạo điều kiện thuận lợi tối đa cho khách hàng, thực hiện các giải pháp tháo gỡ khó khăn trong quan hệ tín dụng giữa tổ chức tín dụng và doanh nghiệp; đồng thời chú trọng phát triển đa dạng các sản phẩm tín dụng đặc thù cho đối tượng DNNVV cũng như các sản phẩm về ngoại tệ, các công cụ phòng ngừa rủi ro lãi suất và tỉ giá nhằm giúp doanh nghiệp chủ động về vốn, tăng cường khả năng phòng ngừa rủi ro; đổi mới quy trình cho vay theo hướng đơn giản hóa thủ tục vay</w:t>
      </w:r>
      <w:r w:rsidR="00C70669" w:rsidRPr="00C70669">
        <w:rPr>
          <w:rFonts w:ascii="Times New Roman" w:eastAsia="Times New Roman" w:hAnsi="Times New Roman" w:cs="Times New Roman"/>
          <w:color w:val="000000" w:themeColor="text1"/>
          <w:sz w:val="28"/>
          <w:szCs w:val="28"/>
        </w:rPr>
        <w:t>.</w:t>
      </w:r>
    </w:p>
    <w:bookmarkEnd w:id="7"/>
    <w:p w14:paraId="6386813F" w14:textId="69022ADA" w:rsidR="00A1158B" w:rsidRPr="00EE68EF" w:rsidRDefault="00A1158B" w:rsidP="00522776">
      <w:pPr>
        <w:shd w:val="clear" w:color="auto" w:fill="FBFBFB"/>
        <w:spacing w:before="180" w:after="180" w:line="240" w:lineRule="auto"/>
        <w:ind w:firstLine="720"/>
        <w:jc w:val="both"/>
        <w:rPr>
          <w:rFonts w:ascii="Times New Roman" w:hAnsi="Times New Roman" w:cs="Times New Roman"/>
          <w:b/>
          <w:bCs/>
          <w:color w:val="000000" w:themeColor="text1"/>
          <w:kern w:val="36"/>
          <w:sz w:val="28"/>
          <w:szCs w:val="28"/>
          <w:lang w:val="pt-BR"/>
        </w:rPr>
      </w:pPr>
      <w:r w:rsidRPr="00EE68EF">
        <w:rPr>
          <w:rFonts w:ascii="Times New Roman" w:hAnsi="Times New Roman" w:cs="Times New Roman"/>
          <w:b/>
          <w:color w:val="000000" w:themeColor="text1"/>
          <w:sz w:val="28"/>
          <w:szCs w:val="28"/>
          <w:lang w:val="pt-BR"/>
        </w:rPr>
        <w:lastRenderedPageBreak/>
        <w:t xml:space="preserve">Tham luận </w:t>
      </w:r>
      <w:r w:rsidR="00EE68EF">
        <w:rPr>
          <w:rFonts w:ascii="Times New Roman" w:hAnsi="Times New Roman" w:cs="Times New Roman"/>
          <w:b/>
          <w:color w:val="000000" w:themeColor="text1"/>
          <w:sz w:val="28"/>
          <w:szCs w:val="28"/>
          <w:lang w:val="pt-BR"/>
        </w:rPr>
        <w:t>6</w:t>
      </w:r>
      <w:r w:rsidRPr="00EE68EF">
        <w:rPr>
          <w:rFonts w:ascii="Times New Roman" w:hAnsi="Times New Roman" w:cs="Times New Roman"/>
          <w:b/>
          <w:color w:val="000000" w:themeColor="text1"/>
          <w:sz w:val="28"/>
          <w:szCs w:val="28"/>
          <w:lang w:val="pt-BR"/>
        </w:rPr>
        <w:t>: Các quy định pháp luật về hình thức huy động vốn từ</w:t>
      </w:r>
      <w:r w:rsidRPr="00EE68EF">
        <w:rPr>
          <w:rFonts w:ascii="Times New Roman" w:hAnsi="Times New Roman" w:cs="Times New Roman"/>
          <w:b/>
          <w:bCs/>
          <w:color w:val="000000" w:themeColor="text1"/>
          <w:sz w:val="28"/>
          <w:szCs w:val="28"/>
          <w:lang w:val="pt-BR"/>
        </w:rPr>
        <w:t xml:space="preserve"> vay quỹ đầu tư</w:t>
      </w:r>
      <w:r w:rsidR="00BE3469" w:rsidRPr="00EE68EF">
        <w:rPr>
          <w:rFonts w:ascii="Times New Roman" w:hAnsi="Times New Roman" w:cs="Times New Roman"/>
          <w:b/>
          <w:bCs/>
          <w:color w:val="000000" w:themeColor="text1"/>
          <w:kern w:val="36"/>
          <w:sz w:val="28"/>
          <w:szCs w:val="28"/>
          <w:lang w:val="pt-BR"/>
        </w:rPr>
        <w:t>.</w:t>
      </w:r>
      <w:r w:rsidR="00167B45" w:rsidRPr="00EE68EF">
        <w:rPr>
          <w:rFonts w:ascii="Times New Roman" w:hAnsi="Times New Roman" w:cs="Times New Roman"/>
          <w:b/>
          <w:bCs/>
          <w:color w:val="000000" w:themeColor="text1"/>
          <w:kern w:val="36"/>
          <w:sz w:val="28"/>
          <w:szCs w:val="28"/>
          <w:lang w:val="pt-BR"/>
        </w:rPr>
        <w:t xml:space="preserve"> </w:t>
      </w:r>
      <w:r w:rsidR="00BE3469" w:rsidRPr="00EE68EF">
        <w:rPr>
          <w:rFonts w:ascii="Times New Roman" w:hAnsi="Times New Roman" w:cs="Times New Roman"/>
          <w:b/>
          <w:bCs/>
          <w:color w:val="000000" w:themeColor="text1"/>
          <w:kern w:val="36"/>
          <w:sz w:val="28"/>
          <w:szCs w:val="28"/>
          <w:lang w:val="pt-BR"/>
        </w:rPr>
        <w:t>Một số rủi ro pháp lý cần lưu ý và giải pháp tối ưu cho doanh nghiệp</w:t>
      </w:r>
    </w:p>
    <w:p w14:paraId="38860A82" w14:textId="109BA6E0" w:rsidR="00B314C3" w:rsidRDefault="00B314C3" w:rsidP="00B314C3">
      <w:pPr>
        <w:shd w:val="clear" w:color="auto" w:fill="FBFBFB"/>
        <w:spacing w:after="0" w:line="288" w:lineRule="auto"/>
        <w:ind w:firstLine="576"/>
        <w:jc w:val="right"/>
        <w:rPr>
          <w:rFonts w:ascii="Times New Roman" w:hAnsi="Times New Roman"/>
          <w:b/>
          <w:bCs/>
          <w:i/>
          <w:color w:val="FF0000"/>
          <w:sz w:val="28"/>
          <w:szCs w:val="28"/>
        </w:rPr>
      </w:pPr>
      <w:r w:rsidRPr="00B314C3">
        <w:rPr>
          <w:rFonts w:ascii="Times New Roman" w:hAnsi="Times New Roman"/>
          <w:b/>
          <w:bCs/>
          <w:i/>
          <w:color w:val="FF0000"/>
          <w:sz w:val="28"/>
          <w:szCs w:val="28"/>
        </w:rPr>
        <w:t xml:space="preserve">Ông Hồ Vĩnh Chung </w:t>
      </w:r>
      <w:r>
        <w:rPr>
          <w:rFonts w:ascii="Times New Roman" w:hAnsi="Times New Roman"/>
          <w:b/>
          <w:bCs/>
          <w:i/>
          <w:color w:val="FF0000"/>
          <w:sz w:val="28"/>
          <w:szCs w:val="28"/>
        </w:rPr>
        <w:t>–</w:t>
      </w:r>
      <w:r w:rsidRPr="00B314C3">
        <w:rPr>
          <w:rFonts w:ascii="Times New Roman" w:hAnsi="Times New Roman"/>
          <w:b/>
          <w:bCs/>
          <w:i/>
          <w:color w:val="FF0000"/>
          <w:sz w:val="28"/>
          <w:szCs w:val="28"/>
        </w:rPr>
        <w:t xml:space="preserve"> </w:t>
      </w:r>
    </w:p>
    <w:p w14:paraId="727D1309" w14:textId="1BEB9A2A" w:rsidR="000F249D" w:rsidRPr="00B314C3" w:rsidRDefault="00B314C3" w:rsidP="00B314C3">
      <w:pPr>
        <w:shd w:val="clear" w:color="auto" w:fill="FBFBFB"/>
        <w:spacing w:after="0" w:line="288" w:lineRule="auto"/>
        <w:ind w:firstLine="576"/>
        <w:jc w:val="right"/>
        <w:rPr>
          <w:rFonts w:ascii="Times New Roman" w:hAnsi="Times New Roman"/>
          <w:b/>
          <w:bCs/>
          <w:i/>
          <w:color w:val="000000" w:themeColor="text1"/>
          <w:sz w:val="28"/>
          <w:szCs w:val="28"/>
        </w:rPr>
      </w:pPr>
      <w:r w:rsidRPr="00B314C3">
        <w:rPr>
          <w:rFonts w:ascii="Times New Roman" w:hAnsi="Times New Roman"/>
          <w:b/>
          <w:i/>
          <w:iCs/>
          <w:color w:val="000000" w:themeColor="text1"/>
          <w:sz w:val="28"/>
          <w:szCs w:val="28"/>
          <w:lang w:val="vi-VN"/>
        </w:rPr>
        <w:t>Viện Nghi</w:t>
      </w:r>
      <w:r w:rsidRPr="00B314C3">
        <w:rPr>
          <w:rFonts w:ascii="Times New Roman" w:hAnsi="Times New Roman"/>
          <w:b/>
          <w:i/>
          <w:iCs/>
          <w:color w:val="000000" w:themeColor="text1"/>
          <w:sz w:val="28"/>
          <w:szCs w:val="28"/>
        </w:rPr>
        <w:t>ên c</w:t>
      </w:r>
      <w:r w:rsidRPr="00B314C3">
        <w:rPr>
          <w:rFonts w:ascii="Times New Roman" w:hAnsi="Times New Roman"/>
          <w:b/>
          <w:i/>
          <w:iCs/>
          <w:color w:val="000000" w:themeColor="text1"/>
          <w:sz w:val="28"/>
          <w:szCs w:val="28"/>
          <w:lang w:val="vi-VN"/>
        </w:rPr>
        <w:t>ứu Thị trường – Truyền th</w:t>
      </w:r>
      <w:r w:rsidRPr="00B314C3">
        <w:rPr>
          <w:rFonts w:ascii="Times New Roman" w:hAnsi="Times New Roman"/>
          <w:b/>
          <w:i/>
          <w:iCs/>
          <w:color w:val="000000" w:themeColor="text1"/>
          <w:sz w:val="28"/>
          <w:szCs w:val="28"/>
        </w:rPr>
        <w:t>ông Qu</w:t>
      </w:r>
      <w:r w:rsidRPr="00B314C3">
        <w:rPr>
          <w:rFonts w:ascii="Times New Roman" w:hAnsi="Times New Roman"/>
          <w:b/>
          <w:i/>
          <w:iCs/>
          <w:color w:val="000000" w:themeColor="text1"/>
          <w:sz w:val="28"/>
          <w:szCs w:val="28"/>
          <w:lang w:val="vi-VN"/>
        </w:rPr>
        <w:t>ốc tế (IMRIC)</w:t>
      </w:r>
    </w:p>
    <w:p w14:paraId="272AE31E" w14:textId="77777777" w:rsidR="00B314C3" w:rsidRDefault="000930A0" w:rsidP="0065433F">
      <w:pPr>
        <w:shd w:val="clear" w:color="auto" w:fill="FBFBFB"/>
        <w:spacing w:after="0" w:line="288" w:lineRule="auto"/>
        <w:ind w:firstLine="576"/>
        <w:jc w:val="both"/>
        <w:rPr>
          <w:rFonts w:ascii="Times New Roman" w:eastAsia="Times New Roman" w:hAnsi="Times New Roman" w:cs="Times New Roman"/>
          <w:b/>
          <w:color w:val="000000" w:themeColor="text1"/>
          <w:sz w:val="28"/>
          <w:szCs w:val="28"/>
        </w:rPr>
      </w:pPr>
      <w:r w:rsidRPr="00EE68EF">
        <w:rPr>
          <w:rFonts w:ascii="Times New Roman" w:eastAsia="Times New Roman" w:hAnsi="Times New Roman" w:cs="Times New Roman"/>
          <w:b/>
          <w:color w:val="000000" w:themeColor="text1"/>
          <w:sz w:val="28"/>
          <w:szCs w:val="28"/>
        </w:rPr>
        <w:t xml:space="preserve">    </w:t>
      </w:r>
    </w:p>
    <w:p w14:paraId="0D19AA13" w14:textId="3E5D9506" w:rsidR="000930A0" w:rsidRPr="00EE68EF" w:rsidRDefault="008014C3" w:rsidP="0065433F">
      <w:pPr>
        <w:shd w:val="clear" w:color="auto" w:fill="FBFBFB"/>
        <w:spacing w:after="0" w:line="288" w:lineRule="auto"/>
        <w:ind w:firstLine="576"/>
        <w:jc w:val="both"/>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b/>
          <w:bCs/>
          <w:color w:val="000000" w:themeColor="text1"/>
          <w:sz w:val="28"/>
          <w:szCs w:val="28"/>
        </w:rPr>
        <w:t>1</w:t>
      </w:r>
      <w:r w:rsidR="000930A0" w:rsidRPr="00EE68EF">
        <w:rPr>
          <w:rFonts w:ascii="Times New Roman" w:eastAsia="Times New Roman" w:hAnsi="Times New Roman" w:cs="Times New Roman"/>
          <w:b/>
          <w:bCs/>
          <w:color w:val="000000" w:themeColor="text1"/>
          <w:sz w:val="28"/>
          <w:szCs w:val="28"/>
        </w:rPr>
        <w:t xml:space="preserve">. Quỹ phát triển doanh nghiệp nhỏ và vừa </w:t>
      </w:r>
    </w:p>
    <w:p w14:paraId="4184D208" w14:textId="3D51FB12" w:rsidR="000930A0" w:rsidRPr="00EE68EF" w:rsidRDefault="000930A0" w:rsidP="0065433F">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w:t>
      </w:r>
      <w:hyperlink r:id="rId21" w:tgtFrame="_blank" w:history="1">
        <w:r w:rsidRPr="00EE68EF">
          <w:rPr>
            <w:rFonts w:ascii="Times New Roman" w:eastAsia="Times New Roman" w:hAnsi="Times New Roman" w:cs="Times New Roman"/>
            <w:color w:val="000000" w:themeColor="text1"/>
            <w:sz w:val="28"/>
            <w:szCs w:val="28"/>
          </w:rPr>
          <w:t>Điều 20 Luật Hỗ trợ doanh nghiệp nhỏ và vừa 2017</w:t>
        </w:r>
      </w:hyperlink>
      <w:r w:rsidRPr="00EE68EF">
        <w:rPr>
          <w:rFonts w:ascii="Times New Roman" w:eastAsia="Times New Roman" w:hAnsi="Times New Roman" w:cs="Times New Roman"/>
          <w:color w:val="000000" w:themeColor="text1"/>
          <w:sz w:val="28"/>
          <w:szCs w:val="28"/>
        </w:rPr>
        <w:t> có nêu cụ thể bản chất của Quỹ phát triển doanh nghiệp nhỏ và vừa như sau:</w:t>
      </w:r>
    </w:p>
    <w:p w14:paraId="1F7A4750"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"Điều 20. Quỹ phát triển doanh nghiệp nhỏ và vừa</w:t>
      </w:r>
    </w:p>
    <w:p w14:paraId="310E89B3"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1. Quỹ phát triển doanh nghiệp nhỏ và vừa là quỹ tài chính nhà nước ngoài ngân sách, hoạt động không vì mục tiêu lợi nhuận, do Thủ tướng Chính phủ thành lập, thực hiện các chức năng sau đây:</w:t>
      </w:r>
    </w:p>
    <w:p w14:paraId="15C5765D"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Cho vay, tài trợ doanh nghiệp nhỏ và vừa khởi nghiệp sáng tạo, doanh nghiệp nhỏ và vừa tham gia cụm liên kết ngành, chuỗi giá trị;</w:t>
      </w:r>
    </w:p>
    <w:p w14:paraId="535A9B8F"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Tiếp nhận và quản lý nguồn vốn vay, tài trợ, viện trợ, đóng góp, ủy thác của các tổ chức, cá nhân để hỗ trợ doanh nghiệp nhỏ và vừa."</w:t>
      </w:r>
    </w:p>
    <w:p w14:paraId="560EAB9E"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quy định tại </w:t>
      </w:r>
      <w:hyperlink r:id="rId22" w:tgtFrame="_blank" w:history="1">
        <w:r w:rsidRPr="00EE68EF">
          <w:rPr>
            <w:rFonts w:ascii="Times New Roman" w:eastAsia="Times New Roman" w:hAnsi="Times New Roman" w:cs="Times New Roman"/>
            <w:color w:val="000000" w:themeColor="text1"/>
            <w:sz w:val="28"/>
            <w:szCs w:val="28"/>
          </w:rPr>
          <w:t>khoản 19 Điều 4 Luật Ngân sách nhà nước 2015</w:t>
        </w:r>
      </w:hyperlink>
      <w:r w:rsidRPr="00EE68EF">
        <w:rPr>
          <w:rFonts w:ascii="Times New Roman" w:eastAsia="Times New Roman" w:hAnsi="Times New Roman" w:cs="Times New Roman"/>
          <w:color w:val="000000" w:themeColor="text1"/>
          <w:sz w:val="28"/>
          <w:szCs w:val="28"/>
        </w:rPr>
        <w:t>:</w:t>
      </w:r>
    </w:p>
    <w:p w14:paraId="0BDAB11B"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"19. Quỹ tài chính nhà nước ngoài ngân sách là quỹ do cơ quan có thẩm quyền quyết định thành lập, hoạt động độc lập với ngân sách nhà nước, nguồn thu, nhiệm vụ chi của quỹ để thực hiện các nhiệm vụ theo quy định của pháp luật."</w:t>
      </w:r>
    </w:p>
    <w:p w14:paraId="5FC91114"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Còn tại </w:t>
      </w:r>
      <w:hyperlink r:id="rId23" w:tgtFrame="_blank" w:history="1">
        <w:r w:rsidRPr="00EE68EF">
          <w:rPr>
            <w:rFonts w:ascii="Times New Roman" w:eastAsia="Times New Roman" w:hAnsi="Times New Roman" w:cs="Times New Roman"/>
            <w:color w:val="000000" w:themeColor="text1"/>
            <w:sz w:val="28"/>
            <w:szCs w:val="28"/>
          </w:rPr>
          <w:t>khoản 1 Điều 4 Luật Các tổ chức tín dụng 2010</w:t>
        </w:r>
      </w:hyperlink>
      <w:r w:rsidRPr="00EE68EF">
        <w:rPr>
          <w:rFonts w:ascii="Times New Roman" w:eastAsia="Times New Roman" w:hAnsi="Times New Roman" w:cs="Times New Roman"/>
          <w:color w:val="000000" w:themeColor="text1"/>
          <w:sz w:val="28"/>
          <w:szCs w:val="28"/>
        </w:rPr>
        <w:t> có quy định về tổ chức tín dụng như sau:</w:t>
      </w:r>
    </w:p>
    <w:p w14:paraId="3FA115EA"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"1. Tổ chức tín dụng là doanh nghiệp thực hiện một, một số hoặc tất cả các hoạt động ngân hàng. Tổ chức tín dụng bao gồm ngân hàng, tổ chức tín dụng phi ngân hàng, tổ chức tài chính vi mô và quỹ tín dụng nhân dân."</w:t>
      </w:r>
    </w:p>
    <w:p w14:paraId="21D29032"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Như vậy, đối chiếu các quy định trên với nhau, có thể thấy Quỹ phát triển doanh nghiệp nhỏ và vừa nói riêng và quỹ tài chính ngoài ngân sách nhà nước nói chung là quỹ của nhà nước, không phải là một tổ chức tín dụng.</w:t>
      </w:r>
    </w:p>
    <w:p w14:paraId="2BB0AA9A" w14:textId="6385875F" w:rsidR="000930A0" w:rsidRPr="00EE68EF" w:rsidRDefault="00714A50" w:rsidP="0065433F">
      <w:pPr>
        <w:shd w:val="clear" w:color="auto" w:fill="FFFFFF"/>
        <w:spacing w:after="0" w:line="288" w:lineRule="auto"/>
        <w:ind w:firstLine="576"/>
        <w:jc w:val="both"/>
        <w:outlineLvl w:val="1"/>
        <w:rPr>
          <w:rFonts w:ascii="Times New Roman" w:eastAsia="Times New Roman" w:hAnsi="Times New Roman" w:cs="Times New Roman"/>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1.1. </w:t>
      </w:r>
      <w:r w:rsidR="000930A0" w:rsidRPr="00EE68EF">
        <w:rPr>
          <w:rFonts w:ascii="Times New Roman" w:eastAsia="Times New Roman" w:hAnsi="Times New Roman" w:cs="Times New Roman"/>
          <w:b/>
          <w:bCs/>
          <w:i/>
          <w:color w:val="000000" w:themeColor="text1"/>
          <w:sz w:val="28"/>
          <w:szCs w:val="28"/>
        </w:rPr>
        <w:t>Điều kiện vay vốn trực tiếp từ nguồn vốn của Quỹ phát triển doanh nghiệp nhỏ và vừa cụ thể trong từng trường hợp</w:t>
      </w:r>
      <w:r w:rsidR="008014F7" w:rsidRPr="00EE68EF">
        <w:rPr>
          <w:rFonts w:ascii="Times New Roman" w:eastAsia="Times New Roman" w:hAnsi="Times New Roman" w:cs="Times New Roman"/>
          <w:b/>
          <w:bCs/>
          <w:i/>
          <w:color w:val="000000" w:themeColor="text1"/>
          <w:sz w:val="28"/>
          <w:szCs w:val="28"/>
        </w:rPr>
        <w:t>:</w:t>
      </w:r>
    </w:p>
    <w:p w14:paraId="338D9543"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Tại </w:t>
      </w:r>
      <w:hyperlink r:id="rId24" w:tgtFrame="_blank" w:history="1">
        <w:r w:rsidRPr="00EE68EF">
          <w:rPr>
            <w:rFonts w:ascii="Times New Roman" w:eastAsia="Times New Roman" w:hAnsi="Times New Roman" w:cs="Times New Roman"/>
            <w:color w:val="000000" w:themeColor="text1"/>
            <w:sz w:val="28"/>
            <w:szCs w:val="28"/>
          </w:rPr>
          <w:t>khoản 3 Điều 4 Nghị định 39/2019/NĐ-CP</w:t>
        </w:r>
      </w:hyperlink>
      <w:r w:rsidRPr="00EE68EF">
        <w:rPr>
          <w:rFonts w:ascii="Times New Roman" w:eastAsia="Times New Roman" w:hAnsi="Times New Roman" w:cs="Times New Roman"/>
          <w:color w:val="000000" w:themeColor="text1"/>
          <w:sz w:val="28"/>
          <w:szCs w:val="28"/>
        </w:rPr>
        <w:t> có quy định:</w:t>
      </w:r>
    </w:p>
    <w:p w14:paraId="59A3F179"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"3. “Cho vay trực tiếp” là việc Quỹ trực tiếp thực hiện cho vay đối với doanh nghiệp nhỏ và vừa."</w:t>
      </w:r>
    </w:p>
    <w:p w14:paraId="01738966"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Theo đó, trong trường hợp Quỹ phát triển doanh nghiệp nhỏ và vừa trực tiếp thực hiện hoạt động cho vay đối với doanh nghiệp nhỏ và vừa thì điều kiện cần đáp ứng được quy định cụ thể tại </w:t>
      </w:r>
      <w:hyperlink r:id="rId25" w:tgtFrame="_blank" w:history="1">
        <w:r w:rsidRPr="00EE68EF">
          <w:rPr>
            <w:rFonts w:ascii="Times New Roman" w:eastAsia="Times New Roman" w:hAnsi="Times New Roman" w:cs="Times New Roman"/>
            <w:color w:val="000000" w:themeColor="text1"/>
            <w:sz w:val="28"/>
            <w:szCs w:val="28"/>
          </w:rPr>
          <w:t>Điều 16 Nghị định 39/2019/NĐ-CP</w:t>
        </w:r>
      </w:hyperlink>
      <w:r w:rsidRPr="00EE68EF">
        <w:rPr>
          <w:rFonts w:ascii="Times New Roman" w:eastAsia="Times New Roman" w:hAnsi="Times New Roman" w:cs="Times New Roman"/>
          <w:color w:val="000000" w:themeColor="text1"/>
          <w:sz w:val="28"/>
          <w:szCs w:val="28"/>
        </w:rPr>
        <w:t> như sau:</w:t>
      </w:r>
    </w:p>
    <w:p w14:paraId="486ACABF"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"Điều 16. Điều kiện vay vốn</w:t>
      </w:r>
    </w:p>
    <w:p w14:paraId="43F0E02C"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1. Doanh nghiệp nhỏ và vừa khởi nghiệp sáng tạo được vay vốn của Quỹ khi đáp ứng các điều kiện sau:</w:t>
      </w:r>
    </w:p>
    <w:p w14:paraId="0AD4D4AD"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Điều 4 Luật Hỗ trợ doanh nghiệp nhỏ và vừa;</w:t>
      </w:r>
    </w:p>
    <w:p w14:paraId="21EF9869"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Có dự án, phương án sản xuất, kinh doanh khả thi, khai thác các loại tài sản trí tuệ quy định tại Luật Sở hữu trí tuệ hoặc công nghệ mới quy định tại Luật Chuyển giao công nghệ hoặc mô hình kinh doanh mới theo quy định của pháp luật;</w:t>
      </w:r>
    </w:p>
    <w:p w14:paraId="7FB6CA62"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c) Đảm bảo nguồn vốn chủ sở hữu tham gia dự án, phương án sản xuất, kinh doanh tối thiểu 20% tổng vốn đầu tư để thực hiện dự án, phương án sản xuất, kinh doanh và phải đảm bảo đủ nguồn vốn để thực hiện dự án, phương án sản xuất, kinh doanh;</w:t>
      </w:r>
    </w:p>
    <w:p w14:paraId="227F146E"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d) Đáp ứng các quy định về bảo đảm tiền vay theo quy định tại Nghị định này.</w:t>
      </w:r>
    </w:p>
    <w:p w14:paraId="003F7923"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2. Doanh nghiệp nhỏ và vừa tham gia cụm liên kết ngành được vay vốn của Quỹ khi đáp ứng các điều kiện sau:</w:t>
      </w:r>
    </w:p>
    <w:p w14:paraId="1E16D788"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điểm a, điểm c, điểm d khoản 1 Điều này;</w:t>
      </w:r>
    </w:p>
    <w:p w14:paraId="6D574F80"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Có dự án, phương án sản xuất, kinh doanh khả thi, nằm trong khu vực địa lý của cụm liên kết ngành và có hợp đồng hợp tác, kinh doanh với doanh nghiệp khác trong cụm liên kết ngành hoặc cùng xây dựng, sử dụng thương hiệu vùng. Việc xác định cụm liên kết ngành thực hiện theo quy định tại Luật Hỗ trợ doanh nghiệp nhỏ và vừa và các văn bản hướng dẫn thi hành.</w:t>
      </w:r>
    </w:p>
    <w:p w14:paraId="4991DA95"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3. Doanh nghiệp nhỏ và vừa tham gia chuỗi giá trị được vay vốn của Quỹ khi đáp ứng các điều kiện sau:</w:t>
      </w:r>
    </w:p>
    <w:p w14:paraId="7B7B7458"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điểm a, điểm c, điểm d khoản 1 Điều này;</w:t>
      </w:r>
    </w:p>
    <w:p w14:paraId="4A2B5B97"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Có dự án, phương án sản xuất, kinh doanh khả thi, được triển khai để trực tiếp tạo ra giá trị gia tăng cho sản phẩm của chuỗi giá trị hoặc có hợp đồng hợp tác, kinh doanh với doanh nghiệp trực tiếp tạo ra giá trị gia tăng cho sản phẩm của chuỗi giá trị. Việc xác định chuỗi giá trị thực hiện theo quy định tại Luật Hỗ trợ doanh nghiệp nhỏ và vừa và các văn bản hướng dẫn thi hành."</w:t>
      </w:r>
    </w:p>
    <w:p w14:paraId="7C658100" w14:textId="004F89E9" w:rsidR="000930A0" w:rsidRPr="00EE68EF" w:rsidRDefault="00714A50" w:rsidP="0065433F">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1.2. </w:t>
      </w:r>
      <w:r w:rsidR="000930A0" w:rsidRPr="00EE68EF">
        <w:rPr>
          <w:rFonts w:ascii="Times New Roman" w:eastAsia="Times New Roman" w:hAnsi="Times New Roman" w:cs="Times New Roman"/>
          <w:b/>
          <w:bCs/>
          <w:i/>
          <w:color w:val="000000" w:themeColor="text1"/>
          <w:sz w:val="28"/>
          <w:szCs w:val="28"/>
        </w:rPr>
        <w:t>Điều kiện vay vốn gián tiếp từ nguồn vốn của Quỹ phát triển doanh nghiệp nhỏ và vừa cụ thể trong từng trường hợp</w:t>
      </w:r>
      <w:r w:rsidR="008014F7" w:rsidRPr="00EE68EF">
        <w:rPr>
          <w:rFonts w:ascii="Times New Roman" w:eastAsia="Times New Roman" w:hAnsi="Times New Roman" w:cs="Times New Roman"/>
          <w:b/>
          <w:bCs/>
          <w:color w:val="000000" w:themeColor="text1"/>
          <w:sz w:val="28"/>
          <w:szCs w:val="28"/>
        </w:rPr>
        <w:t>:</w:t>
      </w:r>
    </w:p>
    <w:p w14:paraId="5D12D256"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Ngược lại với cho vay trực tiếp, Quỹ phát triển doanh nghiệp nhỏ và vừa thực hiện hoạt động cho vay gián tiếp đối với doanh nghiệp thông qua giao vốn cho ngân hàng thương mại được thành lập và hoạt động theo quy định của pháp luật. (quy định tại </w:t>
      </w:r>
      <w:hyperlink r:id="rId26" w:tgtFrame="_blank" w:history="1">
        <w:r w:rsidRPr="00EE68EF">
          <w:rPr>
            <w:rFonts w:ascii="Times New Roman" w:eastAsia="Times New Roman" w:hAnsi="Times New Roman" w:cs="Times New Roman"/>
            <w:color w:val="000000" w:themeColor="text1"/>
            <w:sz w:val="28"/>
            <w:szCs w:val="28"/>
          </w:rPr>
          <w:t>khoản 4 Điều 4 Nghị định 39/2019/NĐ-CP</w:t>
        </w:r>
      </w:hyperlink>
      <w:r w:rsidRPr="00EE68EF">
        <w:rPr>
          <w:rFonts w:ascii="Times New Roman" w:eastAsia="Times New Roman" w:hAnsi="Times New Roman" w:cs="Times New Roman"/>
          <w:color w:val="000000" w:themeColor="text1"/>
          <w:sz w:val="28"/>
          <w:szCs w:val="28"/>
        </w:rPr>
        <w:t>)</w:t>
      </w:r>
    </w:p>
    <w:p w14:paraId="361C1877"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quy định tại </w:t>
      </w:r>
      <w:hyperlink r:id="rId27" w:tgtFrame="_blank" w:history="1">
        <w:r w:rsidRPr="00EE68EF">
          <w:rPr>
            <w:rFonts w:ascii="Times New Roman" w:eastAsia="Times New Roman" w:hAnsi="Times New Roman" w:cs="Times New Roman"/>
            <w:color w:val="000000" w:themeColor="text1"/>
            <w:sz w:val="28"/>
            <w:szCs w:val="28"/>
          </w:rPr>
          <w:t>Điều 23 Nghị định 39/2019/NĐ-CP</w:t>
        </w:r>
      </w:hyperlink>
      <w:r w:rsidRPr="00EE68EF">
        <w:rPr>
          <w:rFonts w:ascii="Times New Roman" w:eastAsia="Times New Roman" w:hAnsi="Times New Roman" w:cs="Times New Roman"/>
          <w:color w:val="000000" w:themeColor="text1"/>
          <w:sz w:val="28"/>
          <w:szCs w:val="28"/>
        </w:rPr>
        <w:t> thì điều kiện vay vốn gián tiếp từ nguồn vốn của Quỹ phát triển doanh nghiệp nhỏ và vừa gồm:</w:t>
      </w:r>
    </w:p>
    <w:p w14:paraId="6EE3644B"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"Điều 23. Điều kiện vay vốn từ nguồn vốn của Quỹ</w:t>
      </w:r>
    </w:p>
    <w:p w14:paraId="248B93FF"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1. Doanh nghiệp nhỏ và vừa khởi nghiệp sáng tạo được ngân hàng cho vay từ nguồn vốn của Quỹ khi đáp ứng các điều kiện sau:</w:t>
      </w:r>
    </w:p>
    <w:p w14:paraId="19B97621"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điểm a, điểm b, điểm c khoản 1 Điều 16 Nghị định này;</w:t>
      </w:r>
    </w:p>
    <w:p w14:paraId="7AF59751"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Đáp ứng các quy định về bảo đảm tiền vay theo quy định pháp luật có liên quan.</w:t>
      </w:r>
    </w:p>
    <w:p w14:paraId="3ABAFBA2"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2. Doanh nghiệp nhỏ và vừa tham gia cụm liên kết ngành được ngân hàng cho vay từ nguồn vốn của Quỹ khi đáp ứng các điều kiện sau:</w:t>
      </w:r>
    </w:p>
    <w:p w14:paraId="32543D69"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điểm a, điểm c khoản 1 và điểm b khoản 2 Điều 16 Nghị định này;</w:t>
      </w:r>
    </w:p>
    <w:p w14:paraId="64C4AA87"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b) Đáp ứng quy định tại điểm b khoản 1 Điều này.</w:t>
      </w:r>
    </w:p>
    <w:p w14:paraId="67CEDE86"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3. Doanh nghiệp nhỏ và vừa tham gia chuỗi giá trị được ngân hàng cho vay từ nguồn vốn của Quỹ khi đáp ứng các điều kiện sau:</w:t>
      </w:r>
    </w:p>
    <w:p w14:paraId="063BA096"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a) Đáp ứng quy định tại điểm a, điểm c khoản 1 và điểm b khoản 3 Điều 16 Nghị định này;</w:t>
      </w:r>
    </w:p>
    <w:p w14:paraId="388C4F2B" w14:textId="4C3667A6"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EE68EF">
        <w:rPr>
          <w:rFonts w:ascii="Times New Roman" w:eastAsia="Times New Roman" w:hAnsi="Times New Roman" w:cs="Times New Roman"/>
          <w:i/>
          <w:iCs/>
          <w:color w:val="000000" w:themeColor="text1"/>
          <w:sz w:val="28"/>
          <w:szCs w:val="28"/>
        </w:rPr>
        <w:t>b) Đáp ứng quy định tại điểm b khoản 1 Điều này."</w:t>
      </w:r>
    </w:p>
    <w:p w14:paraId="730C59B1" w14:textId="70ADFF16" w:rsidR="008014C3" w:rsidRPr="00EE68EF" w:rsidRDefault="008014F7" w:rsidP="0065433F">
      <w:pPr>
        <w:shd w:val="clear" w:color="auto" w:fill="FFFFFF"/>
        <w:spacing w:after="0" w:line="288" w:lineRule="auto"/>
        <w:ind w:firstLine="576"/>
        <w:jc w:val="both"/>
        <w:rPr>
          <w:rFonts w:ascii="Times New Roman" w:eastAsia="Times New Roman" w:hAnsi="Times New Roman" w:cs="Times New Roman"/>
          <w:b/>
          <w:iCs/>
          <w:color w:val="000000" w:themeColor="text1"/>
          <w:sz w:val="28"/>
          <w:szCs w:val="28"/>
        </w:rPr>
      </w:pPr>
      <w:r w:rsidRPr="00EE68EF">
        <w:rPr>
          <w:rFonts w:ascii="Times New Roman" w:eastAsia="Times New Roman" w:hAnsi="Times New Roman" w:cs="Times New Roman"/>
          <w:b/>
          <w:iCs/>
          <w:color w:val="000000" w:themeColor="text1"/>
          <w:sz w:val="28"/>
          <w:szCs w:val="28"/>
        </w:rPr>
        <w:t>2</w:t>
      </w:r>
      <w:r w:rsidR="00F9499C" w:rsidRPr="00EE68EF">
        <w:rPr>
          <w:rFonts w:ascii="Times New Roman" w:eastAsia="Times New Roman" w:hAnsi="Times New Roman" w:cs="Times New Roman"/>
          <w:b/>
          <w:iCs/>
          <w:color w:val="000000" w:themeColor="text1"/>
          <w:sz w:val="28"/>
          <w:szCs w:val="28"/>
        </w:rPr>
        <w:t>. Vay quỹ đầu tư nước ngoài</w:t>
      </w:r>
    </w:p>
    <w:p w14:paraId="74C884B2" w14:textId="59783168"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b/>
          <w:i/>
          <w:iCs/>
          <w:color w:val="000000" w:themeColor="text1"/>
          <w:sz w:val="28"/>
          <w:szCs w:val="28"/>
        </w:rPr>
      </w:pPr>
      <w:r w:rsidRPr="00EE68EF">
        <w:rPr>
          <w:rFonts w:ascii="Times New Roman" w:hAnsi="Times New Roman" w:cs="Times New Roman"/>
          <w:color w:val="000000" w:themeColor="text1"/>
          <w:sz w:val="28"/>
          <w:szCs w:val="28"/>
        </w:rPr>
        <w:t>Đăng ký khoản vay nước ngoài là thủ tục hành chính tại Ngân hàng Nhà nước của doanh nghiệp đối với các khoản vay trung, dài hạn nước ngoài hoặc khoản vay ngắn hạn được gia hạn mà tổng thời hạn của khoản vay là trên 01 (một) năm.</w:t>
      </w:r>
    </w:p>
    <w:p w14:paraId="4B9798D9"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Hiện nay, doanh nghiệp Việt Nam có nhu cầu vay hỗ trợ vốn từ các tổ chức tín dụng, quỹ đầu tư, doanh nghiệp nước ngoài,…hoặc doanh nghiệp có vốn đầu tư nước ngoài (Doanh nghiệp Fdi) vay vốn từ công ty mẹ hoặc các tổ chức liên quan ngày càng nhiều. Nhằm đáp ứng nhu cầu của khách hàng cũng như tháo gỡ những khó khăn cho khách hàng về thủ tục đăng ký khoản vay nước ngoài, Công ty luật Việt An tổng hợp các thông tin pháp lý và cung cấp dịch vụ đăng ký khỏan vay nước ngoài cho doanh nghiệp có nhu cầu tại các tỉnh thành trong cả nước.</w:t>
      </w:r>
    </w:p>
    <w:p w14:paraId="11CFA429" w14:textId="52794ECD"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lastRenderedPageBreak/>
        <w:t xml:space="preserve">2.1. </w:t>
      </w:r>
      <w:r w:rsidR="00F9499C" w:rsidRPr="00EE68EF">
        <w:rPr>
          <w:rFonts w:ascii="Times New Roman" w:eastAsia="Times New Roman" w:hAnsi="Times New Roman" w:cs="Times New Roman"/>
          <w:b/>
          <w:bCs/>
          <w:i/>
          <w:color w:val="000000" w:themeColor="text1"/>
          <w:sz w:val="28"/>
          <w:szCs w:val="28"/>
        </w:rPr>
        <w:t>Cơ sở pháp lý</w:t>
      </w:r>
    </w:p>
    <w:p w14:paraId="65D97EE0" w14:textId="77777777" w:rsidR="00F9499C" w:rsidRPr="00EE68EF" w:rsidRDefault="00F9499C" w:rsidP="0065433F">
      <w:pPr>
        <w:numPr>
          <w:ilvl w:val="0"/>
          <w:numId w:val="39"/>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Thông tư 12/2014/TT-NHNN quy định về điều kiện vay nước ngoài của doanh nghiệp không được Chính phủ bảo lãnh</w:t>
      </w:r>
    </w:p>
    <w:p w14:paraId="63E54A3D" w14:textId="750C4706" w:rsidR="00F9499C" w:rsidRPr="00EE68EF" w:rsidRDefault="00F9499C" w:rsidP="0065433F">
      <w:pPr>
        <w:numPr>
          <w:ilvl w:val="0"/>
          <w:numId w:val="39"/>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Thông tư số 12/2022/TT-NHNN ngày 30</w:t>
      </w:r>
      <w:r w:rsidR="008014F7"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tháng 9 năm 2022 hướng dẫn về quản lý ngoại hối đối với việc vay, trả nợ nước ngoài của doanh nghiệp.</w:t>
      </w:r>
    </w:p>
    <w:p w14:paraId="6E5DF174" w14:textId="12144C69"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2.2. </w:t>
      </w:r>
      <w:r w:rsidR="00F9499C" w:rsidRPr="00EE68EF">
        <w:rPr>
          <w:rFonts w:ascii="Times New Roman" w:eastAsia="Times New Roman" w:hAnsi="Times New Roman" w:cs="Times New Roman"/>
          <w:b/>
          <w:bCs/>
          <w:i/>
          <w:color w:val="000000" w:themeColor="text1"/>
          <w:sz w:val="28"/>
          <w:szCs w:val="28"/>
        </w:rPr>
        <w:t>Các khoản vay nước ngoài bắt buộc phải đăng ký</w:t>
      </w:r>
    </w:p>
    <w:p w14:paraId="2504F38A"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khoản vay nước ngoài sau thuộc đối tượng phải thực hiện đăng ký với Ngân hàng Nhà nước:</w:t>
      </w:r>
    </w:p>
    <w:p w14:paraId="49FFCD79" w14:textId="77777777" w:rsidR="00F9499C" w:rsidRPr="00EE68EF" w:rsidRDefault="00F9499C" w:rsidP="0065433F">
      <w:pPr>
        <w:numPr>
          <w:ilvl w:val="0"/>
          <w:numId w:val="4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trung, dài hạn nước ngoài.</w:t>
      </w:r>
    </w:p>
    <w:p w14:paraId="757A7AB6" w14:textId="77777777" w:rsidR="00F9499C" w:rsidRPr="00EE68EF" w:rsidRDefault="00F9499C" w:rsidP="0065433F">
      <w:pPr>
        <w:numPr>
          <w:ilvl w:val="0"/>
          <w:numId w:val="4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ngắn hạn được gia hạn thời gian trả nợ gốc mà tổng thời hạn của khoản vay là trên 01 năm.</w:t>
      </w:r>
    </w:p>
    <w:p w14:paraId="76C29D90" w14:textId="7531556D" w:rsidR="00F9499C" w:rsidRPr="00EE68EF" w:rsidRDefault="00F9499C" w:rsidP="0065433F">
      <w:pPr>
        <w:numPr>
          <w:ilvl w:val="0"/>
          <w:numId w:val="4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ngắn hạn không có thỏa thuận gia hạn nhưng còn dư nợ gốc (bao gồm cả nợ lãi được nhập gốc) tại thời điểm</w:t>
      </w:r>
      <w:r w:rsidR="00BA3B11" w:rsidRPr="00EE68EF">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tròn 01 năm kể từ ngày rút vốn đầu tiên, trừ trường hợp bên đi vay hoàn thành thanh toán dư nợ gốc nói trên trong thời gian 30 ngày làm việc kể từ thời điểm tròn 01 năm tính từ ngày rút vốn đầu tiên.</w:t>
      </w:r>
    </w:p>
    <w:p w14:paraId="23238A7C" w14:textId="21DC5259"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2.3. </w:t>
      </w:r>
      <w:r w:rsidR="00F9499C" w:rsidRPr="00EE68EF">
        <w:rPr>
          <w:rFonts w:ascii="Times New Roman" w:eastAsia="Times New Roman" w:hAnsi="Times New Roman" w:cs="Times New Roman"/>
          <w:b/>
          <w:bCs/>
          <w:i/>
          <w:color w:val="000000" w:themeColor="text1"/>
          <w:sz w:val="28"/>
          <w:szCs w:val="28"/>
        </w:rPr>
        <w:t>Hợp đồng vay vốn nước ngoài</w:t>
      </w:r>
    </w:p>
    <w:p w14:paraId="2584838D" w14:textId="77777777" w:rsidR="00F9499C" w:rsidRPr="00EE68EF" w:rsidRDefault="00F9499C" w:rsidP="0065433F">
      <w:pPr>
        <w:numPr>
          <w:ilvl w:val="0"/>
          <w:numId w:val="4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Hợp đồng vay vốn, thỏa thuận vay nước ngoài để thực hiện đăng ký khoản vay (sau đây gọi là thỏa thuận vay nước ngoài) là các thỏa thuận có hiệu lực rút vốn được ký kết giữa Bên đi vay và Bên cho vay làm phát sinh nghĩa vụ trả nợ của Bên đi vay.</w:t>
      </w:r>
    </w:p>
    <w:p w14:paraId="67B77D28" w14:textId="77777777" w:rsidR="00F9499C" w:rsidRPr="00EE68EF" w:rsidRDefault="00F9499C" w:rsidP="0065433F">
      <w:pPr>
        <w:numPr>
          <w:ilvl w:val="0"/>
          <w:numId w:val="4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không phải thực hiện thủ tục đăng ký như hiệp định tín dụng khung, biên bản ghi nhớ và các thỏa thuận tương tự khác (sau đây gọi là thỏa thuận khung nhưng chưa phát sinh thỏa thuận rút vốn.</w:t>
      </w:r>
    </w:p>
    <w:p w14:paraId="05494592" w14:textId="77777777" w:rsidR="00F9499C" w:rsidRPr="00EE68EF" w:rsidRDefault="00F9499C" w:rsidP="0065433F">
      <w:pPr>
        <w:numPr>
          <w:ilvl w:val="0"/>
          <w:numId w:val="4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phải đăng ký Hợp đồng vay trung, dài hạn khi có thỏa thuận rút vốn bằng văn bản trên cơ sở thỏa thuận khung.</w:t>
      </w:r>
    </w:p>
    <w:p w14:paraId="66FEA3F0" w14:textId="4BAF22B9"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2.4. </w:t>
      </w:r>
      <w:r w:rsidR="00F9499C" w:rsidRPr="00EE68EF">
        <w:rPr>
          <w:rFonts w:ascii="Times New Roman" w:eastAsia="Times New Roman" w:hAnsi="Times New Roman" w:cs="Times New Roman"/>
          <w:b/>
          <w:bCs/>
          <w:i/>
          <w:color w:val="000000" w:themeColor="text1"/>
          <w:sz w:val="28"/>
          <w:szCs w:val="28"/>
        </w:rPr>
        <w:t>Điều kiện vay vốn nước ngoài</w:t>
      </w:r>
    </w:p>
    <w:p w14:paraId="51E42D57"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doanh nghiệp có vốn Việt Nam hoặc có vốn đầu tư nước ngoài nếu tuân thủ và đáp ứng đầy đủ các quy định về điều kiện vay nước ngoài, quản lý ngoại hối đối với hoạt động vay, trả nợ nước ngoài quy định tại Thông tư số 12/2014/TT-NHNN ngày 31/03/2014 quy định điều kiện vay nước ngoài của doanh nghiệp không được Chính phủ bảo lãnh thì đều có thể vay vốn nước ngoài và đăng ký khoản vay nước ngoài với Ngân hàng Nhà nước Việt Nam.</w:t>
      </w:r>
    </w:p>
    <w:p w14:paraId="39AC45D0" w14:textId="331047C9"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2.5. </w:t>
      </w:r>
      <w:r w:rsidR="00F9499C" w:rsidRPr="00EE68EF">
        <w:rPr>
          <w:rFonts w:ascii="Times New Roman" w:eastAsia="Times New Roman" w:hAnsi="Times New Roman" w:cs="Times New Roman"/>
          <w:b/>
          <w:bCs/>
          <w:i/>
          <w:color w:val="000000" w:themeColor="text1"/>
          <w:sz w:val="28"/>
          <w:szCs w:val="28"/>
        </w:rPr>
        <w:t>Thủ tục đăng ký khoản vay nước ngoài</w:t>
      </w:r>
    </w:p>
    <w:p w14:paraId="20FF02EC"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Thủ tục đăng ký khoản vay nước ngoài thực hiện theo các bước như sau:</w:t>
      </w:r>
    </w:p>
    <w:p w14:paraId="721FE0B6"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1:  Ký hợp đồng vay vốn nước ngoài</w:t>
      </w:r>
    </w:p>
    <w:p w14:paraId="4BFCA32C"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Sau khi lựa chọn được Bên cho vay cũng như thỏa thuận được các nội dung của hợp đồng vay vốn với phía nước ngoài. Bên đi vay ký hợp đồng vay vốn nước ngoài.</w:t>
      </w:r>
    </w:p>
    <w:p w14:paraId="360CAEF8"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2: Mở tài khoản vay vốn nước ngoài</w:t>
      </w:r>
    </w:p>
    <w:p w14:paraId="1FA12DB9" w14:textId="77777777" w:rsidR="00F9499C" w:rsidRPr="00EE68EF" w:rsidRDefault="00F9499C" w:rsidP="0065433F">
      <w:pPr>
        <w:numPr>
          <w:ilvl w:val="0"/>
          <w:numId w:val="42"/>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Tài khoản vay, trả nợ nước ngoài là tài khoản thanh toán của bên đi vay mở tại ngân hàng cung ứng dịch vụ tài khoản để thực hiện rút vốn, trả nợ khoản vay nước ngoài; thực hiện giao dịch phái sinh để phòng ngừa rủi ro đối với các khoản vay nước ngoài và các giao dịch chuyển tiền khác liên quan đến hoạt động vay, trả nợ nước ngoài, bảo đảm cho khoản vay nước ngoài.</w:t>
      </w:r>
    </w:p>
    <w:p w14:paraId="0563CC94" w14:textId="77777777" w:rsidR="00F9499C" w:rsidRPr="00EE68EF" w:rsidRDefault="00F9499C" w:rsidP="0065433F">
      <w:pPr>
        <w:numPr>
          <w:ilvl w:val="0"/>
          <w:numId w:val="42"/>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bên đi vay là doanh nghiệp có vốn đầu tư trực tiếp nước ngoài:</w:t>
      </w:r>
    </w:p>
    <w:p w14:paraId="60AC1059"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Đối với khoản vay trung, dài hạn nước ngoài</w:t>
      </w:r>
    </w:p>
    <w:p w14:paraId="43FC0438"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sử dụng tài khoản vốn đầu tư trực tiếp để thực hiện các giao dịch thu, chi liên quan đến khoản vay nước ngoài quy định tại Điều 28 và Điều 29 Thông tư 12/2022/TT-NHNN. Trường hợp đồng tiền vay không phải là đồng tiền của tài khoản vốn đầu tư trực tiếp, bên đi vay được mở tài khoản vay, trả nợ nước ngoài khác để thực hiện khoản vay nước ngoài tại ngân hàng nơi bên đi vay mở tài khoản vốn đầu tư trực tiếp.</w:t>
      </w:r>
    </w:p>
    <w:p w14:paraId="363AA2AC"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có thể dùng 01 tài khoản cho 01 hoặc nhiều khoản vay nước ngoài. Nội dung thu, chi của tài khoản này được quy định tại Điều 28 và Điều 29 Thông tư 12/2022/TT-NHNN.</w:t>
      </w:r>
    </w:p>
    <w:p w14:paraId="027F8185"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Đối với khoản vay ngắn hạn nước ngoài: bên đi vay có thể sử dụng tài khoản vốn đầu tư trực tiếp theo quy định tại điểm a khoản này hoặc tài khoản vay, trả nợ nước ngoài khác (không phải là tài khoản vốn đầu tư trực tiếp) để thực hiện các giao dịch thu, chi liên quan đến khoản vay nước ngoài. Mỗi khoản vay theo quy định tại khoản này chỉ được thực hiện thông qua 01 ngân hàng cung ứng dịch vụ tài khoản. Bên đi vay có thể dùng 01 tài khoản cho 01 hoặc nhiều khoản vay ngắn hạn nước ngoài. Nội dung thu, chi của tài khoản này được quy định tại Điều 28 và Điều 29 Thông tư 12/2022/TT-NHNN.</w:t>
      </w:r>
    </w:p>
    <w:p w14:paraId="70988768"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Đối với các khoản vay ngắn hạn còn dư nợ gốc tại thời điểm tròn 01 năm kể từ ngày rút vốn và bên đi vay sẽ thực hiện trả nợ trong thời gian 30 ngày làm việc tính từ ngày tròn 01 năm kể từ ngày rút vốn, bên đi vay thực hiện trả nợ qua tài khoản vay, trả nợ nước ngoài đang sử dụng cho khoản vay này;</w:t>
      </w:r>
    </w:p>
    <w:p w14:paraId="268F948D"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 Trường hợp doanh nghiệp có vốn đầu tư trực tiếp nước ngoài là tổ chức cùng chịu trách nhiệm liên đới đối với nghĩa vụ trả nợ khoản vay nước ngoài của bên đi vay ban đầu sau khi chia, tách, hợp nhất, sáp nhất, doanh nghiệp có vốn đầu tư trực tiếp nước ngoài không bắt buộc sử dụng tài khoản vốn đầu tư trực tiếp để thực hiện hoàn trả khoản nợ mà tổ chức này chịu trách nhiệm liên đới.</w:t>
      </w:r>
    </w:p>
    <w:p w14:paraId="6D42A1B0" w14:textId="77777777" w:rsidR="00F9499C" w:rsidRPr="00EE68EF" w:rsidRDefault="00F9499C" w:rsidP="0065433F">
      <w:pPr>
        <w:numPr>
          <w:ilvl w:val="0"/>
          <w:numId w:val="43"/>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không phải là doanh nghiệp có vốn đầu tư trực tiếp nước ngoài phải mở tài khoản vay, trả nợ nước ngoài tại ngân hàng cung ứng dịch vụ tài khoản để thực hiện các giao dịch chuyển tiền liên quan đến khoản vay nước ngoài (rút vốn, trả nợ gốc, nợ lãi). Mỗi khoản vay nước ngoài chỉ được thực hiện qua 01 ngân hàng cung ứng dịch vụ tài khoản. Bên đi vay có thể dùng 01 tài khoản cho 01 hoặc nhiều khoản vay nước ngoài. Nội dung thu, chi của tài khoản này được quy định tại Điều 28 và Điều 29 Thông tư 12/2022/TT-NHNN.</w:t>
      </w:r>
    </w:p>
    <w:p w14:paraId="3041CD2E"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3: Chuẩn bị hồ sơ đăng ký khoản vay nước ngoài</w:t>
      </w:r>
    </w:p>
    <w:p w14:paraId="67693B72" w14:textId="77777777" w:rsidR="00F9499C" w:rsidRPr="00EE68EF" w:rsidRDefault="00F9499C" w:rsidP="0065433F">
      <w:pPr>
        <w:numPr>
          <w:ilvl w:val="0"/>
          <w:numId w:val="4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Bên đi vay lựa chọn hình thức trực tuyến: Bên đi vay thực hiện khai báo Đơn đăng ký thay đổi khoản vay trên Trang điện tử, in đơn từ trang điện tử, ký và đóng dấu;</w:t>
      </w:r>
    </w:p>
    <w:p w14:paraId="4B1A672B" w14:textId="77777777" w:rsidR="00F9499C" w:rsidRPr="00EE68EF" w:rsidRDefault="00F9499C" w:rsidP="0065433F">
      <w:pPr>
        <w:numPr>
          <w:ilvl w:val="0"/>
          <w:numId w:val="4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Bên đi vay lựa chọn hình thức truyền thống: Bên đi vay hoàn thành mẫu đơn theo quy định.</w:t>
      </w:r>
    </w:p>
    <w:p w14:paraId="4EF4C5E5" w14:textId="77777777" w:rsidR="00F9499C" w:rsidRPr="00EE68EF" w:rsidRDefault="00F9499C" w:rsidP="0065433F">
      <w:pPr>
        <w:numPr>
          <w:ilvl w:val="0"/>
          <w:numId w:val="44"/>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Sau khi chuẩn bị xong đơn đăng ký khoản vay, bên đi vay chuẩn bị toàn bộ hồ sơ đăng ký khoản vay theo quy định để nộp Ngân hàng Nhà nước.</w:t>
      </w:r>
    </w:p>
    <w:p w14:paraId="1F58C3E6"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4: Đăng ký tài khoản trực tuyến của doanh nghiệp</w:t>
      </w:r>
    </w:p>
    <w:p w14:paraId="2B602300" w14:textId="77777777" w:rsidR="00F9499C" w:rsidRPr="00EE68EF" w:rsidRDefault="00F9499C" w:rsidP="0065433F">
      <w:pPr>
        <w:numPr>
          <w:ilvl w:val="0"/>
          <w:numId w:val="4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truy cập website https://qlnh-sbv.cic.org.vn/qlnh/ và thực hiện đăng ký tài khoản, kê khai các thông tin cần thiết và gửi yêu cầu đăng ký.</w:t>
      </w:r>
    </w:p>
    <w:p w14:paraId="222B85AD" w14:textId="77777777" w:rsidR="00F9499C" w:rsidRPr="00EE68EF" w:rsidRDefault="00F9499C" w:rsidP="0065433F">
      <w:pPr>
        <w:numPr>
          <w:ilvl w:val="0"/>
          <w:numId w:val="4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in tờ khai đăng ký cấp tài khoản, ký tên &amp; đóng dấu vào tờ khai sau đó gửi đến Ngân hàng nhà nước cùng GCN đăng ký đầu tư &amp; GCN ĐKDN của đơn vị.</w:t>
      </w:r>
    </w:p>
    <w:p w14:paraId="7AB40D0B" w14:textId="77777777" w:rsidR="00F9499C" w:rsidRPr="00EE68EF" w:rsidRDefault="00F9499C" w:rsidP="0065433F">
      <w:pPr>
        <w:numPr>
          <w:ilvl w:val="0"/>
          <w:numId w:val="4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Sau 03 ngày làm việc kể từ ngày nhận hồ sơ, Ngân hàng nhà nước cấp tài khoản &amp; thông báo cho doanh nghiệp về địa chỉ email mà đơn vị đăng ký.</w:t>
      </w:r>
    </w:p>
    <w:p w14:paraId="68655EF9"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5: Đăng nhập tài khoản</w:t>
      </w:r>
    </w:p>
    <w:p w14:paraId="13F95997"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Doanh nghiệp truy cập website https://qlnh-sbv.cic.org.vn/qlnh/ và thực hiện đăng nhập vào tài khoản theo thông tin tài khoản do Ngân hàng nhà nước cấp.</w:t>
      </w:r>
    </w:p>
    <w:p w14:paraId="5FEEB53E"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6: Thực hiện kê khai đơn đăng ký khoản vay</w:t>
      </w:r>
    </w:p>
    <w:p w14:paraId="63ABFEFC" w14:textId="77777777" w:rsidR="00F9499C" w:rsidRPr="00EE68EF" w:rsidRDefault="00F9499C" w:rsidP="0065433F">
      <w:pPr>
        <w:numPr>
          <w:ilvl w:val="0"/>
          <w:numId w:val="4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Tài khoản của doanh nghiệp, đơn vị thực hiện kê khai thông tin đơn đăng ký khoản vay.</w:t>
      </w:r>
    </w:p>
    <w:p w14:paraId="5862063A" w14:textId="77777777" w:rsidR="00F9499C" w:rsidRPr="00EE68EF" w:rsidRDefault="00F9499C" w:rsidP="0065433F">
      <w:pPr>
        <w:numPr>
          <w:ilvl w:val="0"/>
          <w:numId w:val="4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Sau khi hoàn tất đơn đăng ký khoản vay tại tài khoản, doanh nghiệp thực hiện thao tác gửi đơn trực tuyến.</w:t>
      </w:r>
    </w:p>
    <w:p w14:paraId="4395C280"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Lưu ý về thủ tục tại bước 5 và bước 6</w:t>
      </w:r>
    </w:p>
    <w:p w14:paraId="635383C3" w14:textId="77777777" w:rsidR="00F9499C" w:rsidRPr="00EE68EF" w:rsidRDefault="00F9499C" w:rsidP="0065433F">
      <w:pPr>
        <w:numPr>
          <w:ilvl w:val="0"/>
          <w:numId w:val="47"/>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thủ tục tại bước 5 và bước 6 chỉ áp dụng đối với doanh nghiệp có các khoản vay ngắn hạn chuyển thành khoản vay trung và dài hạn.</w:t>
      </w:r>
    </w:p>
    <w:p w14:paraId="15F2B2D3" w14:textId="77777777" w:rsidR="00F9499C" w:rsidRPr="00EE68EF" w:rsidRDefault="00F9499C" w:rsidP="0065433F">
      <w:pPr>
        <w:numPr>
          <w:ilvl w:val="0"/>
          <w:numId w:val="47"/>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Ngược lại, đối với doanh nghiệp đăng ký khoản vay trung và dài hạn lần đầu thì chỉ phải thực hiện bước 5 và bước 6 sau khi đã được Ngân hàng nhà nước cấp Giấy xác nhận đăng ký khoản vay và cập nhật thông tin đăng ký khoản vay (tức sau bước 8 và bước 9).</w:t>
      </w:r>
    </w:p>
    <w:p w14:paraId="1AC2FA1C"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7: Nộp hồ sơ đăng ký khoản vay nước ngoài</w:t>
      </w:r>
    </w:p>
    <w:p w14:paraId="4501B327"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gửi 01 bộ hồ sơ đăng ký khoản vay nước ngoài tới Cơ quan có thẩm quyền xác nhận đăng ký theo quy định tại Điều 20 Thông tư 12/2022/TT-NHNN trong thời hạn:</w:t>
      </w:r>
    </w:p>
    <w:p w14:paraId="6D42B4BC"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30 ngày làm việc kể từ ngày ký thỏa thuận vay nước ngoài trung, dài hạn;</w:t>
      </w:r>
    </w:p>
    <w:p w14:paraId="331C7AC5"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30 ngày làm việc kể từ ngày ký thỏa thuận gia hạn khoản vay nước ngoài ngắn hạn thành trung, dài hạn đối với khoản vay quy định tại khoản 2 Điều 11 Thông tư này mà ngày ký thỏa thuận gia hạn trong vòng 01 năm kể từ ngày rút vốn đầu tiên;</w:t>
      </w:r>
    </w:p>
    <w:p w14:paraId="669EB5C0"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30 ngày làm việc kể từ ngày bên đi vay được cấp Giấy chứng nhận đăng ký doanh nghiệp, Giấy phép thành lập và hoạt động theo pháp luật chuyên ngành, ngày ký hợp đồng đầu tư theo phương thức đối tác công tư (hợp đồng PPP), ngày các bên ký thỏa thuận vay nước ngoài để chuyển số tiền chuẩn bị đầu tư thành vốn vay (tùy thuộc ngày nào đến sau), áp dụng đối với khoản vay nước ngoài phát sinh từ việc chuyển số tiền thực hiện chuẩn bị đầu tư của các dự án đã được cấp Giấy chứng nhận đăng ký đầu tư thành vốn vay nước ngoài.</w:t>
      </w:r>
    </w:p>
    <w:p w14:paraId="71AF6CF3"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60 ngày làm việc tính từ ngày tròn 01 năm kể từ ngày rút vốn đầu tiên đối với:</w:t>
      </w:r>
    </w:p>
    <w:p w14:paraId="71F39D30"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Khoản vay nước ngoài ngắn hạn thành trung, dài hạn mà ngày ký thỏa thuận gia hạn sau 01 năm kể từ ngày rút vốn đầu tiên;</w:t>
      </w:r>
    </w:p>
    <w:p w14:paraId="29E21E78"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Khoản vay ngắn hạn không có thỏa thuận gia hạn nhưng còn dư nợ gốc (bao gồm cả nợ lãi được nhập gốc) tại thời điểm tròn 01 năm kể từ ngày rút vốn đầu tiên.</w:t>
      </w:r>
    </w:p>
    <w:p w14:paraId="62B7A7F3"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i/>
          <w:color w:val="000000" w:themeColor="text1"/>
          <w:sz w:val="28"/>
          <w:szCs w:val="28"/>
        </w:rPr>
      </w:pPr>
      <w:r w:rsidRPr="00EE68EF">
        <w:rPr>
          <w:rFonts w:ascii="Times New Roman" w:eastAsia="Times New Roman" w:hAnsi="Times New Roman" w:cs="Times New Roman"/>
          <w:i/>
          <w:color w:val="000000" w:themeColor="text1"/>
          <w:sz w:val="28"/>
          <w:szCs w:val="28"/>
        </w:rPr>
        <w:lastRenderedPageBreak/>
        <w:t>Bước 8: Xác nhận của Ngân hàng Nhà nước về đăng ký khoản vay nước ngoài hoặc từ chối</w:t>
      </w:r>
    </w:p>
    <w:p w14:paraId="3AB3049F"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Ngân hàng Nhà nước có văn bản xác nhận hoặc từ chối xác nhận đăng ký khoản vay (có nêu rõ lý do) trong thời hạn:</w:t>
      </w:r>
    </w:p>
    <w:p w14:paraId="00C51E75" w14:textId="77777777" w:rsidR="00F9499C" w:rsidRPr="00EE68EF" w:rsidRDefault="00F9499C" w:rsidP="00064DD3">
      <w:pPr>
        <w:numPr>
          <w:ilvl w:val="0"/>
          <w:numId w:val="48"/>
        </w:numPr>
        <w:shd w:val="clear" w:color="auto" w:fill="FFFFFF"/>
        <w:tabs>
          <w:tab w:val="clear" w:pos="2880"/>
        </w:tabs>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12 ngày làm việc kể từ ngày nhận được hồ sơ đầy đủ, hợp lệ của bên đi vay trong trường hợp bên đi vay đã khai báo thông tin khoản vay trên Trang điện tử;</w:t>
      </w:r>
    </w:p>
    <w:p w14:paraId="252E280D" w14:textId="77777777" w:rsidR="00F9499C" w:rsidRPr="00EE68EF" w:rsidRDefault="00F9499C" w:rsidP="00064DD3">
      <w:pPr>
        <w:numPr>
          <w:ilvl w:val="0"/>
          <w:numId w:val="48"/>
        </w:numPr>
        <w:shd w:val="clear" w:color="auto" w:fill="FFFFFF"/>
        <w:tabs>
          <w:tab w:val="clear" w:pos="2880"/>
        </w:tabs>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15 ngày làm việc kể từ ngày nhận được hồ sơ đầy đủ, hợp lệ của bên đi vay trong trường hợp bên đi vay không khai báo thông tin khoản vay trên Trang điện tử;</w:t>
      </w:r>
    </w:p>
    <w:p w14:paraId="76C34161" w14:textId="77777777" w:rsidR="00F9499C" w:rsidRPr="00EE68EF" w:rsidRDefault="00F9499C" w:rsidP="00064DD3">
      <w:pPr>
        <w:numPr>
          <w:ilvl w:val="0"/>
          <w:numId w:val="48"/>
        </w:numPr>
        <w:shd w:val="clear" w:color="auto" w:fill="FFFFFF"/>
        <w:tabs>
          <w:tab w:val="clear" w:pos="2880"/>
        </w:tabs>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45 ngày làm việc kể từ ngày nhận được hồ sơ đầy đủ, hợp lệ của bên đi vay đối với trường hợp khoản vay bằng đồng Việt Nam phải được Thống đốc Ngân hàng Nhà nước xem xét, chấp thuận theo quy định tại khoản 3 Điều 20 Thông tư này.</w:t>
      </w:r>
    </w:p>
    <w:p w14:paraId="3BB01698"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Lưu ý: Đối với các khoản vay nước ngoài bằng đồng Việt Nam phải được Thống đốc Ngân hàng Nhà Nước cho phép theo quy định tại điểm c khoản 2 Điều 7 Thông tư 12/2014/TT-NHNN, thủ tục đăng ký khoản vay đồng thời là thủ tục đề nghị Thống đốc Ngân hàng Nhà nước xem xét chấp thuận khoản vay. Văn bản xác nhận đăng ký khoản vay nước ngoài đồng thời là văn bản chấp thuận khoản vay của Thống đốc Ngân hàng Nhà nước.</w:t>
      </w:r>
    </w:p>
    <w:p w14:paraId="6D5F9A1C"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9: Ngân hàng Nhà nước cập nhật thông tin khoản vay nước ngoài của doanh nghiệp</w:t>
      </w:r>
    </w:p>
    <w:p w14:paraId="07A81CA9"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Ngân hàng Nhà nước/Chi nhánh Ngân hàng Nhà nước kiểm tra hồ sơ, cập nhật tình hình xử lý hồ sơ trên Trang điện tử hoặc tạo mã khoản vay và lưu trữ thông tin vào cơ sở dữ liệu vay, trả nợ nước ngoài của doanh nghiệp không được Chính phủ bảo lãnh.</w:t>
      </w:r>
    </w:p>
    <w:p w14:paraId="576035DE"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Bước 10: Thực hiện báo cáo thống kê khoản vay nước ngoài tới Ngân hàng Nhà nước</w:t>
      </w:r>
    </w:p>
    <w:p w14:paraId="20FF6183"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Báo cáo định kỳ khoản vay nước ngoài của doanh nghiệp</w:t>
      </w:r>
    </w:p>
    <w:p w14:paraId="004CAC98"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Định kỳ hàng tháng, chậm nhất vào ngày 05 của tháng tiếp theo kỳ báo cáo, bên đi vay phải báo cáo trực tuyến tình hình thực hiện các khoản vay ngắn, trung và dài hạn tại Trang điện tử. Trường hợp Trang điện tử gặp lỗi kỹ thuật không thể gửi được báo cáo, bên đi vay gửi báo cáo bằng văn bản theo mẫu tại Phụ lục 05 ban hành kèm theo Thông tư 12/2022/TT-NHNN.</w:t>
      </w:r>
    </w:p>
    <w:p w14:paraId="1885FA12"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Báo cáo đột xuất khoản vay nước ngoài của doanh nghiệp</w:t>
      </w:r>
    </w:p>
    <w:p w14:paraId="66D73684"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Các trường hợp đột xuất hoặc khi cần thiết, bên đi vay, ngân hàng cung ứng dịch vụ tài khoản thực hiện báo cáo theo yêu cầu của Ngân hàng Nhà nước.</w:t>
      </w:r>
    </w:p>
    <w:p w14:paraId="69535414" w14:textId="0DA5DCB8"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2.7. </w:t>
      </w:r>
      <w:r w:rsidR="00F9499C" w:rsidRPr="00EE68EF">
        <w:rPr>
          <w:rFonts w:ascii="Times New Roman" w:eastAsia="Times New Roman" w:hAnsi="Times New Roman" w:cs="Times New Roman"/>
          <w:b/>
          <w:bCs/>
          <w:i/>
          <w:color w:val="000000" w:themeColor="text1"/>
          <w:sz w:val="28"/>
          <w:szCs w:val="28"/>
        </w:rPr>
        <w:t>Hồ sơ đăng ký khoản vay nước ngoài</w:t>
      </w:r>
    </w:p>
    <w:p w14:paraId="2EB8B820" w14:textId="5E1FDBDD" w:rsidR="00F9499C" w:rsidRPr="00EE68EF" w:rsidRDefault="00F9499C" w:rsidP="0065433F">
      <w:pPr>
        <w:shd w:val="clear" w:color="auto" w:fill="FFFFFF"/>
        <w:spacing w:after="0" w:line="288" w:lineRule="auto"/>
        <w:ind w:firstLine="576"/>
        <w:jc w:val="both"/>
        <w:outlineLvl w:val="2"/>
        <w:rPr>
          <w:rFonts w:ascii="Times New Roman" w:eastAsia="Times New Roman" w:hAnsi="Times New Roman" w:cs="Times New Roman"/>
          <w:bCs/>
          <w:i/>
          <w:color w:val="000000" w:themeColor="text1"/>
          <w:sz w:val="28"/>
          <w:szCs w:val="28"/>
        </w:rPr>
      </w:pPr>
      <w:r w:rsidRPr="00EE68EF">
        <w:rPr>
          <w:rFonts w:ascii="Times New Roman" w:eastAsia="Times New Roman" w:hAnsi="Times New Roman" w:cs="Times New Roman"/>
          <w:bCs/>
          <w:i/>
          <w:color w:val="000000" w:themeColor="text1"/>
          <w:sz w:val="28"/>
          <w:szCs w:val="28"/>
        </w:rPr>
        <w:t>Một số lưu ý đối với khoản vay nước ngoài để doanh nghiệp không bị xử phạt vi phạm hành chính</w:t>
      </w:r>
      <w:r w:rsidR="008014F7" w:rsidRPr="00EE68EF">
        <w:rPr>
          <w:rFonts w:ascii="Times New Roman" w:eastAsia="Times New Roman" w:hAnsi="Times New Roman" w:cs="Times New Roman"/>
          <w:bCs/>
          <w:i/>
          <w:color w:val="000000" w:themeColor="text1"/>
          <w:sz w:val="28"/>
          <w:szCs w:val="28"/>
        </w:rPr>
        <w:t>:</w:t>
      </w:r>
    </w:p>
    <w:p w14:paraId="7F7C7FEF" w14:textId="1DD96D37" w:rsidR="00F9499C" w:rsidRPr="00EE68EF" w:rsidRDefault="008014F7"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 xml:space="preserve">- </w:t>
      </w:r>
      <w:r w:rsidR="00F9499C" w:rsidRPr="00EE68EF">
        <w:rPr>
          <w:rFonts w:ascii="Times New Roman" w:eastAsia="Times New Roman" w:hAnsi="Times New Roman" w:cs="Times New Roman"/>
          <w:bCs/>
          <w:i/>
          <w:iCs/>
          <w:color w:val="000000" w:themeColor="text1"/>
          <w:sz w:val="28"/>
          <w:szCs w:val="28"/>
        </w:rPr>
        <w:t>Đối với khoản vay nước ngoài ngắn hạn</w:t>
      </w:r>
    </w:p>
    <w:p w14:paraId="6644EBA2"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cần thực hiện nghĩa vụ báo cáo định kỳ hàng tháng đến ngân hàng nhà nước theo hình thức trực tuyến tại website: www.qlnh-sbv.cic.org.vn. Hành vi không nộp báo báo hoặc nộp không đúng thời hạn bị xử phạt tiền từ 10.000.000 – 20.000.000 VNĐ.</w:t>
      </w:r>
    </w:p>
    <w:p w14:paraId="7D1090C5" w14:textId="693E5D3C" w:rsidR="00F9499C" w:rsidRPr="00EE68EF" w:rsidRDefault="008014F7"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 xml:space="preserve">- </w:t>
      </w:r>
      <w:r w:rsidR="00F9499C" w:rsidRPr="00EE68EF">
        <w:rPr>
          <w:rFonts w:ascii="Times New Roman" w:eastAsia="Times New Roman" w:hAnsi="Times New Roman" w:cs="Times New Roman"/>
          <w:bCs/>
          <w:i/>
          <w:iCs/>
          <w:color w:val="000000" w:themeColor="text1"/>
          <w:sz w:val="28"/>
          <w:szCs w:val="28"/>
        </w:rPr>
        <w:t>Đối với khoản vay nước ngoài dài hạn</w:t>
      </w:r>
    </w:p>
    <w:p w14:paraId="7F8EDD7C" w14:textId="77777777" w:rsidR="00F9499C" w:rsidRPr="00EE68EF" w:rsidRDefault="00F9499C" w:rsidP="0065433F">
      <w:pPr>
        <w:numPr>
          <w:ilvl w:val="0"/>
          <w:numId w:val="49"/>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cần thực hiện nghĩa vụ báo cáo định kỳ hàng tháng đến ngân hàng nhà nước theo hình thức trực tuyến tại website: www.qlnh-sbv.cic.org.vn. Hành vi không nộp báo báo hoặc nộp báo cáo không đúng thời hạn bị xử phạt tiền từ 10.000.000 – 20.000.000 VNĐ.</w:t>
      </w:r>
    </w:p>
    <w:p w14:paraId="26D3CB12" w14:textId="77777777" w:rsidR="00F9499C" w:rsidRPr="00EE68EF" w:rsidRDefault="00F9499C" w:rsidP="0065433F">
      <w:pPr>
        <w:numPr>
          <w:ilvl w:val="0"/>
          <w:numId w:val="49"/>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khoản vay ngắn hạn được chuyển đổi thành khoản vay trung và dài hạn, bên đi vay cần thực hiện thủ tục đăng ký khoản vay đúng thời hạn do pháp luật quy định. Hành vi không thực hiện đúng quy định của pháp luật về thủ tục hành chính đối với việc đăng ký, đăng ký thay đổi khoản vay nước ngoàibị xử phạt tiền từ 40.000.000 – 60.000.000 VNĐ.</w:t>
      </w:r>
    </w:p>
    <w:p w14:paraId="2622301B" w14:textId="77777777" w:rsidR="00F9499C" w:rsidRPr="00EE68EF" w:rsidRDefault="00F9499C" w:rsidP="0065433F">
      <w:pPr>
        <w:numPr>
          <w:ilvl w:val="0"/>
          <w:numId w:val="49"/>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cần được sử dụng đúng mục đích do pháp luật quy định, cụ thể khoản vay nước ngoài chỉ được sử dụng cho các mục đích được quy định tại điều 5 Thông tư 12/2014/TT-NHNN. Hành vi sử dụng khoản vay không đúng mục đích bị xử phạt tiền từ 300.000.000 – 400.000.000 VNĐ.</w:t>
      </w:r>
    </w:p>
    <w:p w14:paraId="089C48FD" w14:textId="3B625E0D"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2.8. </w:t>
      </w:r>
      <w:r w:rsidR="00F9499C" w:rsidRPr="00EE68EF">
        <w:rPr>
          <w:rFonts w:ascii="Times New Roman" w:eastAsia="Times New Roman" w:hAnsi="Times New Roman" w:cs="Times New Roman"/>
          <w:b/>
          <w:bCs/>
          <w:i/>
          <w:color w:val="000000" w:themeColor="text1"/>
          <w:sz w:val="28"/>
          <w:szCs w:val="28"/>
        </w:rPr>
        <w:t>Thẩm quyền xác nhận đăng ký khoản vay</w:t>
      </w:r>
    </w:p>
    <w:p w14:paraId="6EA8C8D4"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Ngân hàng Nhà nước (Vụ Quản lý ngoại hối)</w:t>
      </w:r>
    </w:p>
    <w:p w14:paraId="5C2D72B0"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Thực hiện việc xác nhận đăng ký, đăng ký thay đổi đối với các khoản vay có kim ngạch vay trên 10 (mười) triệu USD (hoặc loại ngoại tệ khác có giá trị tương đương) và các khoản vay nước ngoài bằng đồng Việt Nam.</w:t>
      </w:r>
    </w:p>
    <w:p w14:paraId="5695A593"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Ngân hàng Nhà nước chi nhánh tỉnh, thành phố trực thuộc Trung ương nơi Bên đi vay đặt trụ sở chính</w:t>
      </w:r>
    </w:p>
    <w:p w14:paraId="45FDD7DC"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Thực hiện việc xác nhận đăng ký, đăng ký thay đổi đối với các khoản vay có kim ngạch vay đến 10 (mười) triệu USD (hoặc loại ngoại tệ khác có giá trị tương đương).</w:t>
      </w:r>
    </w:p>
    <w:p w14:paraId="364EFC7F"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việc thay đổi tăng hoặc giảm kim ngạch vay, thay đổi đồng tiền vay, thay đổi trụ sở chính của Bên đi vay, thay đổi Bên đi vay sang doanh nghiệp có trụ sở chính thuộc địa bàn khác làm thay đổi cơ quan có thẩm quyền xác nhận đăng ký thay đổi khoản vay, cơ quan xác nhận đăng ký, đăng ký thay đổi khoản vay ban đầu có trách nhiệm làm đầu mối tiếp nhận hồ sơ đăng ký thay đổi khoản vay của Bên đi vay.</w:t>
      </w:r>
    </w:p>
    <w:p w14:paraId="0F396B5B" w14:textId="29BD632D" w:rsidR="00F9499C" w:rsidRPr="00EE68EF" w:rsidRDefault="00714A50" w:rsidP="0065433F">
      <w:pPr>
        <w:shd w:val="clear" w:color="auto" w:fill="FFFFFF"/>
        <w:spacing w:after="0" w:line="288" w:lineRule="auto"/>
        <w:ind w:firstLine="576"/>
        <w:jc w:val="both"/>
        <w:outlineLvl w:val="2"/>
        <w:rPr>
          <w:rFonts w:ascii="Times New Roman" w:eastAsia="Times New Roman" w:hAnsi="Times New Roman" w:cs="Times New Roman"/>
          <w:b/>
          <w:bCs/>
          <w:i/>
          <w:color w:val="000000" w:themeColor="text1"/>
          <w:sz w:val="28"/>
          <w:szCs w:val="28"/>
        </w:rPr>
      </w:pPr>
      <w:r w:rsidRPr="00EE68EF">
        <w:rPr>
          <w:rFonts w:ascii="Times New Roman" w:eastAsia="Times New Roman" w:hAnsi="Times New Roman" w:cs="Times New Roman"/>
          <w:b/>
          <w:bCs/>
          <w:i/>
          <w:color w:val="000000" w:themeColor="text1"/>
          <w:sz w:val="28"/>
          <w:szCs w:val="28"/>
        </w:rPr>
        <w:t xml:space="preserve">2.9. </w:t>
      </w:r>
      <w:r w:rsidR="00F9499C" w:rsidRPr="00EE68EF">
        <w:rPr>
          <w:rFonts w:ascii="Times New Roman" w:eastAsia="Times New Roman" w:hAnsi="Times New Roman" w:cs="Times New Roman"/>
          <w:b/>
          <w:bCs/>
          <w:i/>
          <w:color w:val="000000" w:themeColor="text1"/>
          <w:sz w:val="28"/>
          <w:szCs w:val="28"/>
        </w:rPr>
        <w:t xml:space="preserve">Một số </w:t>
      </w:r>
      <w:r w:rsidR="00BD67B1">
        <w:rPr>
          <w:rFonts w:ascii="Times New Roman" w:eastAsia="Times New Roman" w:hAnsi="Times New Roman" w:cs="Times New Roman"/>
          <w:b/>
          <w:bCs/>
          <w:i/>
          <w:color w:val="000000" w:themeColor="text1"/>
          <w:sz w:val="28"/>
          <w:szCs w:val="28"/>
        </w:rPr>
        <w:t>vướng mắc của doanh nghiệp</w:t>
      </w:r>
    </w:p>
    <w:p w14:paraId="28D84605"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Doanh nghiệp phải mở tài khoản vay vốn khi nào?</w:t>
      </w:r>
    </w:p>
    <w:p w14:paraId="0C02FDFE"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Trước khi thực hiện thủ tục đăng ký khoản vay nước ngoài doanh nghiệp phải mở tài khoản vay vốn để đăng ký thông tin tài khoản vay vốn với Ngân hàng Nhà nước.</w:t>
      </w:r>
    </w:p>
    <w:p w14:paraId="69D6BA62"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Các khoản vay nước ngoài nào phải đăng ký với Ngân hàng Nhà nước?</w:t>
      </w:r>
    </w:p>
    <w:p w14:paraId="6DB93BE2" w14:textId="77777777" w:rsidR="00F9499C" w:rsidRPr="00EE68EF" w:rsidRDefault="00F9499C" w:rsidP="0065433F">
      <w:pPr>
        <w:numPr>
          <w:ilvl w:val="0"/>
          <w:numId w:val="5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trung, dài hạn nước ngoài.</w:t>
      </w:r>
    </w:p>
    <w:p w14:paraId="763B37B9" w14:textId="77777777" w:rsidR="00F9499C" w:rsidRPr="00EE68EF" w:rsidRDefault="00F9499C" w:rsidP="0065433F">
      <w:pPr>
        <w:numPr>
          <w:ilvl w:val="0"/>
          <w:numId w:val="5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ngắn hạn được gia hạn thời gian trả nợ gốc mà tổng thời hạn của khoản vay là trên 01 năm.</w:t>
      </w:r>
    </w:p>
    <w:p w14:paraId="58D5A054" w14:textId="77777777" w:rsidR="00F9499C" w:rsidRPr="00EE68EF" w:rsidRDefault="00F9499C" w:rsidP="0065433F">
      <w:pPr>
        <w:numPr>
          <w:ilvl w:val="0"/>
          <w:numId w:val="50"/>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ngắn hạn không có thỏa thuận gia hạn nhưng còn dư nợ gốc (bao gồm cả nợ lãi được nhập gốc) tại thời điểmtròn 01 năm kể từ ngày rút vốn đầu tiên, trừ trường hợp bên đi vay hoàn thành thanh toán dư nợ gốc nói trên trong thời gian 30 ngày làm việc kể từ thời điểm tròn 01 năm tính từ ngày rút vốn đầu tiên.</w:t>
      </w:r>
    </w:p>
    <w:p w14:paraId="1674948E"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Có thể vay vốn nước ngoài bằng Việt Nam đồng không?</w:t>
      </w:r>
    </w:p>
    <w:p w14:paraId="1173BD7E"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Vay nước ngoài bằng đồng Việt Nam chỉ được thực hiện trong các trường hợp sau:</w:t>
      </w:r>
    </w:p>
    <w:p w14:paraId="20393D34" w14:textId="77777777" w:rsidR="00F9499C" w:rsidRPr="00EE68EF" w:rsidRDefault="00F9499C" w:rsidP="0065433F">
      <w:pPr>
        <w:numPr>
          <w:ilvl w:val="0"/>
          <w:numId w:val="5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là tổ chức tài chính vi mô;</w:t>
      </w:r>
    </w:p>
    <w:p w14:paraId="4EEDB0BB" w14:textId="77777777" w:rsidR="00F9499C" w:rsidRPr="00EE68EF" w:rsidRDefault="00F9499C" w:rsidP="0065433F">
      <w:pPr>
        <w:numPr>
          <w:ilvl w:val="0"/>
          <w:numId w:val="5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đi vay là doanh nghiệp có vốn đầu tư trực tiếp nước ngoài vay từ nguồn lợi nhuận được chia bằng đồng Việt Nam từ hoạt động đầu tư trực tiếp của Bên cho vay là nhà đầu tư nước ngoài góp vốn tại Bên đi vay.</w:t>
      </w:r>
    </w:p>
    <w:p w14:paraId="0FA1E2A8" w14:textId="77777777" w:rsidR="00F9499C" w:rsidRPr="00EE68EF" w:rsidRDefault="00F9499C" w:rsidP="0065433F">
      <w:pPr>
        <w:numPr>
          <w:ilvl w:val="0"/>
          <w:numId w:val="51"/>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trường hợp khác khi được Thống đốc Ngân hàng Nhà nước xem xét, chấp thuận căn cứ vào tình hình thực tế và tính chất cần thiết của từng trường hợp.</w:t>
      </w:r>
    </w:p>
    <w:p w14:paraId="50811003"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Khoản vay nước ngoài là gì?</w:t>
      </w:r>
    </w:p>
    <w:p w14:paraId="025019C9"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Khoản vay nước ngoài là cụm từ dùng chung để chỉ khoản vay nước ngoài không được Chính phủ bảo lãnh (sau đây gọi là khoản vay tự vay tự trả). Khoản vay nước ngoài được Chính phủ bảo lãnh dưới mọi hình thức vay nước ngoài thông qua hợp đồng vay, hợp đồng nhập khẩu hàng hóa trả chậm, hợp đồng ủy thác cho vay, hợp đồng cho thuê tài chính hoặc phát hành công cụ nợ trên thị trường quốc tế của Bên đi vay.</w:t>
      </w:r>
    </w:p>
    <w:p w14:paraId="55F9ED90" w14:textId="77777777" w:rsidR="00F9499C" w:rsidRPr="00EE68EF" w:rsidRDefault="00F9499C" w:rsidP="0065433F">
      <w:pPr>
        <w:shd w:val="clear" w:color="auto" w:fill="FFFFFF"/>
        <w:spacing w:after="0" w:line="288" w:lineRule="auto"/>
        <w:ind w:firstLine="576"/>
        <w:jc w:val="both"/>
        <w:outlineLvl w:val="3"/>
        <w:rPr>
          <w:rFonts w:ascii="Times New Roman" w:eastAsia="Times New Roman" w:hAnsi="Times New Roman" w:cs="Times New Roman"/>
          <w:bCs/>
          <w:i/>
          <w:iCs/>
          <w:color w:val="000000" w:themeColor="text1"/>
          <w:sz w:val="28"/>
          <w:szCs w:val="28"/>
        </w:rPr>
      </w:pPr>
      <w:r w:rsidRPr="00EE68EF">
        <w:rPr>
          <w:rFonts w:ascii="Times New Roman" w:eastAsia="Times New Roman" w:hAnsi="Times New Roman" w:cs="Times New Roman"/>
          <w:bCs/>
          <w:i/>
          <w:iCs/>
          <w:color w:val="000000" w:themeColor="text1"/>
          <w:sz w:val="28"/>
          <w:szCs w:val="28"/>
        </w:rPr>
        <w:t>Khoản vay nước ngoài trung, dài hạn được xác định như thế nào?</w:t>
      </w:r>
    </w:p>
    <w:p w14:paraId="701B9A55" w14:textId="77777777" w:rsidR="00F9499C" w:rsidRPr="00EE68EF" w:rsidRDefault="00F9499C"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vay nước ngoài trung, dài hạn là các khoản vay nước ngoài có thời hạn từ 01 năm trở lên.</w:t>
      </w:r>
    </w:p>
    <w:p w14:paraId="6E756618" w14:textId="4F22386C" w:rsidR="00714A50" w:rsidRPr="00EE68EF" w:rsidRDefault="00714A50" w:rsidP="0065433F">
      <w:pPr>
        <w:shd w:val="clear" w:color="auto" w:fill="FFFFFF"/>
        <w:spacing w:after="0" w:line="288" w:lineRule="auto"/>
        <w:ind w:firstLine="576"/>
        <w:jc w:val="both"/>
        <w:outlineLvl w:val="1"/>
        <w:rPr>
          <w:rFonts w:ascii="Times New Roman" w:eastAsia="Times New Roman" w:hAnsi="Times New Roman" w:cs="Times New Roman"/>
          <w:b/>
          <w:i/>
          <w:color w:val="000000" w:themeColor="text1"/>
          <w:sz w:val="28"/>
          <w:szCs w:val="28"/>
        </w:rPr>
      </w:pPr>
      <w:r w:rsidRPr="00EE68EF">
        <w:rPr>
          <w:rFonts w:ascii="Times New Roman" w:eastAsia="Times New Roman" w:hAnsi="Times New Roman" w:cs="Times New Roman"/>
          <w:b/>
          <w:i/>
          <w:color w:val="000000" w:themeColor="text1"/>
          <w:sz w:val="28"/>
          <w:szCs w:val="28"/>
        </w:rPr>
        <w:t>2.10. Tình huống</w:t>
      </w:r>
    </w:p>
    <w:p w14:paraId="03608F90" w14:textId="2830AD4F" w:rsidR="000930A0" w:rsidRPr="00EE68EF" w:rsidRDefault="000930A0" w:rsidP="0065433F">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Công ty ông Tô Hoàng Thịnh (TPHCM) có 100% vốn nước ngoài. Để bổ sung nguồn vốn ban đầu cho hoạt động kinh doanh, bên cạnh vốn góp, công ty dự định vay nước ngoài ngắn hạn (dưới 12 tháng).</w:t>
      </w:r>
    </w:p>
    <w:p w14:paraId="2BB4E9C7"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 mới thành lập nên giai đoạn đầu công ty chủ yếu tiếp thị, quảng bá và tạo nhận diện trên thị trường. Vì vậy trong 1-2 năm đầu tiên có thể doanh thu sẽ chưa được như kỳ vọng. Khi khoản vay nêu trên đến hạn, công ty dự định tìm kiếm các nguồn vốn vay nước ngoài ngắn hạn khác để cơ cấu lại khoản vay nước ngoài cũ.</w:t>
      </w:r>
    </w:p>
    <w:p w14:paraId="56793123"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Thông tư số 12/2014/TT-NHNN, điều kiện để vay khoản vay nước ngoài mới nhằm cơ cấu lại khoản vay nước ngoài cũ là không làm tăng chi phí vay.</w:t>
      </w:r>
    </w:p>
    <w:p w14:paraId="025EEE40"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Tuy nhiên, ông Thịnh chưa rõ thế nào là không làm tăng chi phí vay. Ông hỏi, công ty ông cần hiểu quy định này như thế nào?</w:t>
      </w:r>
    </w:p>
    <w:p w14:paraId="0EE6BB42"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Ví dụ, nếu công ty ông Thịnh vay khoản vay đầu tiên với lãi suất 2%/năm, sau đó công ty vay khoản vay thứ 2 với lãi suất tối đa là 2%/năm thì có được hiểu là không làm tăng chi phí vay hay không?</w:t>
      </w:r>
    </w:p>
    <w:p w14:paraId="44AA9AAF"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Công ty có tham khảo một số ngân hàng thương mại thì được tư vấn là lãi suất của khoản vay thứ 2 phải bằng 0. Theo ông Thịnh, nếu hiểu theo hướng này thì rất khó cho công ty tiếp cận nguồn vốn nước ngoài vì tập quán thị trường quốc tế không thể có khoản vay không lãi suất.</w:t>
      </w:r>
    </w:p>
    <w:p w14:paraId="5FFD15E5" w14:textId="36471F4F" w:rsidR="000930A0" w:rsidRPr="00EE68EF" w:rsidRDefault="00064DD3"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iCs/>
          <w:color w:val="000000" w:themeColor="text1"/>
          <w:sz w:val="28"/>
          <w:szCs w:val="28"/>
        </w:rPr>
        <w:t>V</w:t>
      </w:r>
      <w:r w:rsidR="000930A0" w:rsidRPr="00EE68EF">
        <w:rPr>
          <w:rFonts w:ascii="Times New Roman" w:eastAsia="Times New Roman" w:hAnsi="Times New Roman" w:cs="Times New Roman"/>
          <w:iCs/>
          <w:color w:val="000000" w:themeColor="text1"/>
          <w:sz w:val="28"/>
          <w:szCs w:val="28"/>
        </w:rPr>
        <w:t>ấn đề này</w:t>
      </w:r>
      <w:r>
        <w:rPr>
          <w:rFonts w:ascii="Times New Roman" w:eastAsia="Times New Roman" w:hAnsi="Times New Roman" w:cs="Times New Roman"/>
          <w:iCs/>
          <w:color w:val="000000" w:themeColor="text1"/>
          <w:sz w:val="28"/>
          <w:szCs w:val="28"/>
        </w:rPr>
        <w:t xml:space="preserve"> được trả lời</w:t>
      </w:r>
      <w:r w:rsidR="000930A0" w:rsidRPr="00EE68EF">
        <w:rPr>
          <w:rFonts w:ascii="Times New Roman" w:eastAsia="Times New Roman" w:hAnsi="Times New Roman" w:cs="Times New Roman"/>
          <w:iCs/>
          <w:color w:val="000000" w:themeColor="text1"/>
          <w:sz w:val="28"/>
          <w:szCs w:val="28"/>
        </w:rPr>
        <w:t xml:space="preserve"> như sau:</w:t>
      </w:r>
    </w:p>
    <w:p w14:paraId="0B3DE8BB"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Khoản 2, Điều 5 Thông tư số </w:t>
      </w:r>
      <w:hyperlink r:id="rId28" w:tgtFrame="_blank" w:history="1">
        <w:r w:rsidRPr="00EE68EF">
          <w:rPr>
            <w:rFonts w:ascii="Times New Roman" w:eastAsia="Times New Roman" w:hAnsi="Times New Roman" w:cs="Times New Roman"/>
            <w:color w:val="000000" w:themeColor="text1"/>
            <w:sz w:val="28"/>
            <w:szCs w:val="28"/>
          </w:rPr>
          <w:t>12/2014/TT-NHNN</w:t>
        </w:r>
      </w:hyperlink>
      <w:r w:rsidRPr="00EE68EF">
        <w:rPr>
          <w:rFonts w:ascii="Times New Roman" w:eastAsia="Times New Roman" w:hAnsi="Times New Roman" w:cs="Times New Roman"/>
          <w:color w:val="000000" w:themeColor="text1"/>
          <w:sz w:val="28"/>
          <w:szCs w:val="28"/>
        </w:rPr>
        <w:t> ngày 31/3/2014 của Ngân hàng Nhà nước Việt Nam quy định về điều kiện vay nước ngoài của doanh nghiệp không được Chính phủ bảo lãnh quy định, bên đi vay được phép vay nước ngoài để "cơ cấu lại các khoản nợ nước ngoài của bên đi vay mà không làm tăng chi phí vay".</w:t>
      </w:r>
    </w:p>
    <w:p w14:paraId="61160F0B"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Khoản 5, Điều 2 Thông tư số 12/2014/TT-NHNN quy định: "Chi phí vay nước ngoài là tổng mức chi phí quy đổi theo tỷ lệ phần trăm hàng năm của kim ngạch khoản vay, bao gồm lãi suất vay nước ngoài và các chi phí khác có liên quan đến khoản vay nước ngoài mà bên đi vay chắc chắn phải trả cho bên cho vay, các bên bảo đảm khoản vay, bên bảo hiểm khoản vay, các đại lý và các bên liên quan khác".</w:t>
      </w:r>
    </w:p>
    <w:p w14:paraId="264C1348" w14:textId="6A44E16C"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trường hợp ông Tô Hoàng Thịnh, theo quy định tại Nghị định số </w:t>
      </w:r>
      <w:hyperlink r:id="rId29" w:tgtFrame="_blank" w:history="1">
        <w:r w:rsidRPr="00EE68EF">
          <w:rPr>
            <w:rFonts w:ascii="Times New Roman" w:eastAsia="Times New Roman" w:hAnsi="Times New Roman" w:cs="Times New Roman"/>
            <w:color w:val="000000" w:themeColor="text1"/>
            <w:sz w:val="28"/>
            <w:szCs w:val="28"/>
          </w:rPr>
          <w:t>219/2013/NĐ-CP</w:t>
        </w:r>
      </w:hyperlink>
      <w:r w:rsidRPr="00EE68EF">
        <w:rPr>
          <w:rFonts w:ascii="Times New Roman" w:eastAsia="Times New Roman" w:hAnsi="Times New Roman" w:cs="Times New Roman"/>
          <w:color w:val="000000" w:themeColor="text1"/>
          <w:sz w:val="28"/>
          <w:szCs w:val="28"/>
        </w:rPr>
        <w:t> ngày 26/12/2013 của Chính phủ quy định về quản lý vay, trả nợ nước ngoài của doanh nghiệp không được Chính phủ bảo lãnh, doanh nghiệp tự chịu trách nhiệm trong việc ký và thực hiện thỏa thuận vay nước ngoài và các thỏa thuận khác có liên quan.</w:t>
      </w:r>
    </w:p>
    <w:p w14:paraId="4F8C756A"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Việc đàm phán các khoản vay nước ngoài (lãi suất, chi phí, thời hạn vay,...) thuộc quyền chủ động của doanh nghiệp trên cơ sở tuân thủ quy định của Ngân hàng Nhà nước về điều kiện vay, trả nợ nước ngoài của doanh nghiệp không được Chính phủ bảo lãnh.</w:t>
      </w:r>
    </w:p>
    <w:p w14:paraId="5A814F8E" w14:textId="77777777"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các mục đích vay nước ngoài để cơ cấu khoản nợ nước ngoài của bên đi vay, như đề cập trên, chi phí khoản vay nước ngoài mới không cao hơn chi phí của khoản vay nước ngoài được cơ cấu; chi phí vay được quy định tại Khoản 5, Điều 2 Thông tư số 12/2014/TT-NHNN nêu trên (hiện tại không có quy định yêu cầu mức lãi suất khoản vay nước ngoài mới bằng 0 như ông Thịnh đề cập).</w:t>
      </w:r>
    </w:p>
    <w:p w14:paraId="2DD5D194" w14:textId="5D6ECC08" w:rsidR="000930A0" w:rsidRPr="00EE68EF" w:rsidRDefault="000930A0" w:rsidP="0065433F">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thực hiện các khoản vay nước ngoài ngắn hạn, bên đi vay tự chịu trách nhiệm lập bảng tính so sánh chi phí vay của khoản vay mới và khoản vay được cơ cấu để bảo đảm tuân thủ quy định của Ngân hàng Nhà nước về điều kiện vay, trả nợ nước ngoài và xuất trình cho tổ chức tín dụng cung ứng dịch vụ tài khoản nếu được tổ chức tín dụng cung ứng dịch vụ tài khoản yêu cầu nhằm chứng minh tính hợp pháp của khoản vay ngắn hạn nước ngoài, bảo đảm việc thực hiện giao dịch tuân thủ quy định hiện hành của pháp luật có liên quan.</w:t>
      </w:r>
    </w:p>
    <w:p w14:paraId="16E13B34" w14:textId="70B204BE" w:rsidR="00004E41" w:rsidRPr="00EE68EF" w:rsidRDefault="00004E41" w:rsidP="00021A86">
      <w:pPr>
        <w:shd w:val="clear" w:color="auto" w:fill="FFFFFF"/>
        <w:spacing w:after="0" w:line="234" w:lineRule="atLeast"/>
        <w:jc w:val="both"/>
        <w:rPr>
          <w:rFonts w:ascii="Times New Roman" w:eastAsia="Times New Roman" w:hAnsi="Times New Roman" w:cs="Times New Roman"/>
          <w:color w:val="000000" w:themeColor="text1"/>
          <w:sz w:val="28"/>
          <w:szCs w:val="28"/>
        </w:rPr>
        <w:sectPr w:rsidR="00004E41" w:rsidRPr="00EE68EF">
          <w:pgSz w:w="12240" w:h="15840"/>
          <w:pgMar w:top="1440" w:right="1440" w:bottom="1440" w:left="1440" w:header="720" w:footer="720" w:gutter="0"/>
          <w:cols w:space="720"/>
          <w:docGrid w:linePitch="360"/>
        </w:sectPr>
      </w:pPr>
    </w:p>
    <w:p w14:paraId="7F54074C" w14:textId="14560BAC" w:rsidR="00EA3E76" w:rsidRDefault="00EA3E76" w:rsidP="00021A86">
      <w:pPr>
        <w:shd w:val="clear" w:color="auto" w:fill="FFFFFF"/>
        <w:spacing w:after="0" w:line="288" w:lineRule="auto"/>
        <w:jc w:val="both"/>
        <w:rPr>
          <w:rFonts w:ascii="Times New Roman" w:eastAsia="Times New Roman" w:hAnsi="Times New Roman" w:cs="Times New Roman"/>
          <w:b/>
          <w:bCs/>
          <w:color w:val="000000" w:themeColor="text1"/>
          <w:kern w:val="36"/>
          <w:sz w:val="28"/>
          <w:szCs w:val="28"/>
          <w:lang w:val="pt-BR"/>
        </w:rPr>
      </w:pPr>
      <w:r w:rsidRPr="00EE68EF">
        <w:rPr>
          <w:rFonts w:ascii="Times New Roman" w:eastAsia="Times New Roman" w:hAnsi="Times New Roman" w:cs="Times New Roman"/>
          <w:b/>
          <w:color w:val="000000" w:themeColor="text1"/>
          <w:sz w:val="28"/>
          <w:szCs w:val="28"/>
          <w:lang w:val="pt-BR"/>
        </w:rPr>
        <w:lastRenderedPageBreak/>
        <w:t xml:space="preserve">Tham luận </w:t>
      </w:r>
      <w:r w:rsidR="009D2B1D">
        <w:rPr>
          <w:rFonts w:ascii="Times New Roman" w:eastAsia="Times New Roman" w:hAnsi="Times New Roman" w:cs="Times New Roman"/>
          <w:b/>
          <w:color w:val="000000" w:themeColor="text1"/>
          <w:sz w:val="28"/>
          <w:szCs w:val="28"/>
          <w:lang w:val="pt-BR"/>
        </w:rPr>
        <w:t>7</w:t>
      </w:r>
      <w:r w:rsidRPr="00EE68EF">
        <w:rPr>
          <w:rFonts w:ascii="Times New Roman" w:eastAsia="Times New Roman" w:hAnsi="Times New Roman" w:cs="Times New Roman"/>
          <w:b/>
          <w:color w:val="000000" w:themeColor="text1"/>
          <w:sz w:val="28"/>
          <w:szCs w:val="28"/>
          <w:lang w:val="pt-BR"/>
        </w:rPr>
        <w:t xml:space="preserve">: Các quy định pháp luật về </w:t>
      </w:r>
      <w:r w:rsidRPr="00EE68EF">
        <w:rPr>
          <w:rFonts w:ascii="Times New Roman" w:eastAsia="Times New Roman" w:hAnsi="Times New Roman" w:cs="Times New Roman"/>
          <w:b/>
          <w:bCs/>
          <w:color w:val="000000" w:themeColor="text1"/>
          <w:sz w:val="28"/>
          <w:szCs w:val="28"/>
          <w:bdr w:val="none" w:sz="0" w:space="0" w:color="auto" w:frame="1"/>
          <w:lang w:val="pt-BR"/>
        </w:rPr>
        <w:t>huy động vốn điều lệ</w:t>
      </w:r>
      <w:r w:rsidR="00BE3469" w:rsidRPr="00EE68EF">
        <w:rPr>
          <w:rFonts w:ascii="Times New Roman" w:eastAsia="Times New Roman" w:hAnsi="Times New Roman" w:cs="Times New Roman"/>
          <w:b/>
          <w:bCs/>
          <w:color w:val="000000" w:themeColor="text1"/>
          <w:kern w:val="36"/>
          <w:sz w:val="28"/>
          <w:szCs w:val="28"/>
          <w:lang w:val="pt-BR"/>
        </w:rPr>
        <w:t>.</w:t>
      </w:r>
      <w:r w:rsidR="00CA5DC3" w:rsidRPr="00EE68EF">
        <w:rPr>
          <w:rFonts w:ascii="Times New Roman" w:eastAsia="Times New Roman" w:hAnsi="Times New Roman" w:cs="Times New Roman"/>
          <w:b/>
          <w:bCs/>
          <w:color w:val="000000" w:themeColor="text1"/>
          <w:kern w:val="36"/>
          <w:sz w:val="28"/>
          <w:szCs w:val="28"/>
          <w:lang w:val="pt-BR"/>
        </w:rPr>
        <w:t xml:space="preserve"> </w:t>
      </w:r>
      <w:r w:rsidR="00BE3469" w:rsidRPr="00EE68EF">
        <w:rPr>
          <w:rFonts w:ascii="Times New Roman" w:eastAsia="Times New Roman" w:hAnsi="Times New Roman" w:cs="Times New Roman"/>
          <w:b/>
          <w:bCs/>
          <w:color w:val="000000" w:themeColor="text1"/>
          <w:kern w:val="36"/>
          <w:sz w:val="28"/>
          <w:szCs w:val="28"/>
          <w:lang w:val="pt-BR"/>
        </w:rPr>
        <w:t>Một số rủi ro pháp lý cần lưu ý và giải pháp tối ưu cho doanh nghiệp</w:t>
      </w:r>
    </w:p>
    <w:p w14:paraId="440A803A" w14:textId="77777777" w:rsidR="005745C6" w:rsidRDefault="005745C6" w:rsidP="00021A86">
      <w:pPr>
        <w:shd w:val="clear" w:color="auto" w:fill="FFFFFF"/>
        <w:spacing w:after="0" w:line="288" w:lineRule="auto"/>
        <w:jc w:val="both"/>
        <w:rPr>
          <w:rFonts w:ascii="Times New Roman" w:eastAsia="Times New Roman" w:hAnsi="Times New Roman" w:cs="Times New Roman"/>
          <w:b/>
          <w:bCs/>
          <w:color w:val="000000" w:themeColor="text1"/>
          <w:kern w:val="36"/>
          <w:sz w:val="28"/>
          <w:szCs w:val="28"/>
          <w:lang w:val="pt-BR"/>
        </w:rPr>
      </w:pPr>
    </w:p>
    <w:p w14:paraId="13999EF5" w14:textId="77777777" w:rsidR="00DB77E5" w:rsidRDefault="00DB77E5" w:rsidP="00DB77E5">
      <w:pPr>
        <w:shd w:val="clear" w:color="auto" w:fill="FFFFFF"/>
        <w:spacing w:after="0" w:line="288" w:lineRule="auto"/>
        <w:ind w:firstLine="576"/>
        <w:jc w:val="right"/>
        <w:textAlignment w:val="baseline"/>
        <w:outlineLvl w:val="1"/>
        <w:rPr>
          <w:rFonts w:ascii="Times New Roman" w:eastAsia="Times New Roman" w:hAnsi="Times New Roman" w:cs="Times New Roman"/>
          <w:b/>
          <w:bCs/>
          <w:color w:val="000000" w:themeColor="text1"/>
          <w:sz w:val="28"/>
          <w:szCs w:val="28"/>
        </w:rPr>
      </w:pPr>
      <w:bookmarkStart w:id="8" w:name="_Hlk136360030"/>
      <w:r w:rsidRPr="00DB77E5">
        <w:rPr>
          <w:rFonts w:ascii="Times New Roman" w:hAnsi="Times New Roman"/>
          <w:b/>
          <w:bCs/>
          <w:i/>
          <w:color w:val="000000" w:themeColor="text1"/>
          <w:sz w:val="28"/>
          <w:szCs w:val="28"/>
        </w:rPr>
        <w:t xml:space="preserve">Luật sư Phan Đức Hiếu - PGĐ </w:t>
      </w:r>
      <w:r w:rsidRPr="00DB77E5">
        <w:rPr>
          <w:rFonts w:ascii="Times New Roman" w:hAnsi="Times New Roman"/>
          <w:b/>
          <w:i/>
          <w:color w:val="000000" w:themeColor="text1"/>
          <w:sz w:val="28"/>
          <w:szCs w:val="28"/>
        </w:rPr>
        <w:t>Trung tâm Tư vấn Pháp luật Toàn Tâm</w:t>
      </w:r>
    </w:p>
    <w:bookmarkEnd w:id="8"/>
    <w:p w14:paraId="436940AE" w14:textId="10F7F5B3" w:rsidR="00CA7C0F" w:rsidRPr="00DB77E5" w:rsidRDefault="00DB77E5" w:rsidP="00DB77E5">
      <w:pPr>
        <w:shd w:val="clear" w:color="auto" w:fill="FFFFFF"/>
        <w:spacing w:after="0" w:line="288" w:lineRule="auto"/>
        <w:ind w:firstLine="576"/>
        <w:jc w:val="right"/>
        <w:textAlignment w:val="baseline"/>
        <w:outlineLvl w:val="1"/>
        <w:rPr>
          <w:rFonts w:ascii="Times New Roman" w:eastAsia="Times New Roman" w:hAnsi="Times New Roman" w:cs="Times New Roman"/>
          <w:b/>
          <w:bCs/>
          <w:color w:val="000000" w:themeColor="text1"/>
          <w:sz w:val="28"/>
          <w:szCs w:val="28"/>
        </w:rPr>
      </w:pPr>
      <w:r w:rsidRPr="00DB77E5">
        <w:rPr>
          <w:rFonts w:ascii="Times New Roman" w:eastAsia="Times New Roman" w:hAnsi="Times New Roman" w:cs="Times New Roman"/>
          <w:b/>
          <w:bCs/>
          <w:color w:val="000000" w:themeColor="text1"/>
          <w:sz w:val="28"/>
          <w:szCs w:val="28"/>
        </w:rPr>
        <w:t xml:space="preserve"> </w:t>
      </w:r>
    </w:p>
    <w:p w14:paraId="4EB934BC" w14:textId="07361B99" w:rsidR="00A1158B" w:rsidRPr="00CA7C0F" w:rsidRDefault="00A1158B" w:rsidP="00CA7C0F">
      <w:pPr>
        <w:pStyle w:val="ListParagraph"/>
        <w:numPr>
          <w:ilvl w:val="1"/>
          <w:numId w:val="46"/>
        </w:numPr>
        <w:shd w:val="clear" w:color="auto" w:fill="FFFFFF"/>
        <w:spacing w:after="0" w:line="288" w:lineRule="auto"/>
        <w:jc w:val="both"/>
        <w:textAlignment w:val="baseline"/>
        <w:outlineLvl w:val="1"/>
        <w:rPr>
          <w:rFonts w:ascii="Times New Roman" w:eastAsia="Times New Roman" w:hAnsi="Times New Roman" w:cs="Times New Roman"/>
          <w:b/>
          <w:bCs/>
          <w:color w:val="000000" w:themeColor="text1"/>
          <w:sz w:val="28"/>
          <w:szCs w:val="28"/>
        </w:rPr>
      </w:pPr>
      <w:r w:rsidRPr="00CA7C0F">
        <w:rPr>
          <w:rFonts w:ascii="Times New Roman" w:eastAsia="Times New Roman" w:hAnsi="Times New Roman" w:cs="Times New Roman"/>
          <w:b/>
          <w:bCs/>
          <w:color w:val="000000" w:themeColor="text1"/>
          <w:sz w:val="28"/>
          <w:szCs w:val="28"/>
        </w:rPr>
        <w:t>Khái niệm vốn điều lệ</w:t>
      </w:r>
    </w:p>
    <w:p w14:paraId="4F0ED60A" w14:textId="3AFAE964" w:rsidR="00CA7C0F" w:rsidRPr="00CA7C0F" w:rsidRDefault="00CA7C0F" w:rsidP="00CA7C0F">
      <w:pPr>
        <w:shd w:val="clear" w:color="auto" w:fill="FFFFFF"/>
        <w:spacing w:after="0" w:line="288" w:lineRule="auto"/>
        <w:ind w:firstLine="720"/>
        <w:jc w:val="both"/>
        <w:textAlignment w:val="baseline"/>
        <w:outlineLvl w:val="1"/>
        <w:rPr>
          <w:rFonts w:ascii="Times New Roman" w:eastAsia="Times New Roman" w:hAnsi="Times New Roman" w:cs="Times New Roman"/>
          <w:bCs/>
          <w:color w:val="000000" w:themeColor="text1"/>
          <w:sz w:val="28"/>
          <w:szCs w:val="28"/>
        </w:rPr>
      </w:pPr>
      <w:r w:rsidRPr="00CA7C0F">
        <w:rPr>
          <w:rFonts w:ascii="Times New Roman" w:eastAsia="Times New Roman" w:hAnsi="Times New Roman" w:cs="Times New Roman"/>
          <w:bCs/>
          <w:color w:val="000000" w:themeColor="text1"/>
          <w:sz w:val="28"/>
          <w:szCs w:val="28"/>
        </w:rPr>
        <w:t>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r>
        <w:rPr>
          <w:rFonts w:ascii="Times New Roman" w:eastAsia="Times New Roman" w:hAnsi="Times New Roman" w:cs="Times New Roman"/>
          <w:bCs/>
          <w:color w:val="000000" w:themeColor="text1"/>
          <w:sz w:val="28"/>
          <w:szCs w:val="28"/>
        </w:rPr>
        <w:t xml:space="preserve"> </w:t>
      </w:r>
      <w:r w:rsidRPr="00CA7C0F">
        <w:rPr>
          <w:rFonts w:ascii="Times New Roman" w:eastAsia="Times New Roman" w:hAnsi="Times New Roman" w:cs="Times New Roman"/>
          <w:bCs/>
          <w:color w:val="000000" w:themeColor="text1"/>
          <w:sz w:val="28"/>
          <w:szCs w:val="28"/>
        </w:rPr>
        <w:t>(Khoản 34 Điều 4 Luật Doanh nghiệp 2020)</w:t>
      </w:r>
      <w:r>
        <w:rPr>
          <w:rFonts w:ascii="Times New Roman" w:eastAsia="Times New Roman" w:hAnsi="Times New Roman" w:cs="Times New Roman"/>
          <w:bCs/>
          <w:color w:val="000000" w:themeColor="text1"/>
          <w:sz w:val="28"/>
          <w:szCs w:val="28"/>
        </w:rPr>
        <w:t>.</w:t>
      </w:r>
    </w:p>
    <w:p w14:paraId="3228DFCC" w14:textId="1229712E"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điều lệ do những người tham gia doanh nghiệp đóng góp và được ghi vào điều lệ doanh nghiệp.</w:t>
      </w:r>
    </w:p>
    <w:p w14:paraId="651E643B"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điều lệ là lượng vốn mà doanh nghiệp phải có và được phép sử dụng theo điều lệ. Doanh nghiệp phải đăng kí vốn điều lệ với cơ quan có thẩm quyền và phải công bố cho công chúng. Đối với những doanh nghiệp có quy định vốn pháp định thì vốn điều lệ không được thấp hơn mức vốn pháp định. Trong quá trình hoạt động, doanh nghiệp có thể tăng hoặc giảm vốn điều lệ nhưng trong mọi trường hợp không được tự ý giảm vốn điều lệ xuống thấp hơn vốn pháp định. Khi doanh nghiệp làm ăn thua lỗ đến mức tài sản của doanh nghiệp thấp hơn vốn điều lệ thì phần thua lỗ có thể được chuyển cho năm tài chính tiếp theo hoặc giảm vốn điều lệ. Đối với doanh nghiệp có vốn đầu tư nước ngoài tại Việt Nam thì vốn pháp định đồng thời cũng là vốn điều lệ.</w:t>
      </w:r>
    </w:p>
    <w:p w14:paraId="59F82471"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điều lệ là số vốn do các thành viên, cổ đông góp hoặc cam kết góp trong một thời hạn nhất định và được ghi trong Điều lệ công ty.</w:t>
      </w:r>
    </w:p>
    <w:p w14:paraId="1F9AEA4E" w14:textId="5CBCFCE9"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Góp vốn là việc đưa tài sản vào công ty để trở thành chủ sở hữu hoặc các chủ sở hữu chung của công ty.</w:t>
      </w:r>
      <w:r w:rsidR="00CA7C0F">
        <w:rPr>
          <w:rFonts w:ascii="Times New Roman" w:eastAsia="Times New Roman" w:hAnsi="Times New Roman" w:cs="Times New Roman"/>
          <w:color w:val="000000" w:themeColor="text1"/>
          <w:sz w:val="28"/>
          <w:szCs w:val="28"/>
        </w:rPr>
        <w:t xml:space="preserve"> </w:t>
      </w:r>
      <w:r w:rsidRPr="009D2B1D">
        <w:rPr>
          <w:rFonts w:ascii="Times New Roman" w:eastAsia="Times New Roman" w:hAnsi="Times New Roman" w:cs="Times New Roman"/>
          <w:color w:val="000000" w:themeColor="text1"/>
          <w:sz w:val="28"/>
          <w:szCs w:val="28"/>
        </w:rPr>
        <w:t>Tài sản góp vốn có thể là tiền Việt Nam, ngoại tệ tự do chuyển đổi, vàng, giá trị quyền sử dụng đất, giá trị quyền sở hữu trí tuệ, công nghệ, bí quyết kỹ thuật, các tài sản khác ghi trong Điều lệ công ty.</w:t>
      </w:r>
    </w:p>
    <w:p w14:paraId="151B715B"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Đối với doanh nghiệp, vốn điều lệ là:</w:t>
      </w:r>
    </w:p>
    <w:p w14:paraId="58D85A51"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Sự cam kết mức trách nhiệm bằng vật chất của các thành viên với khách hàng, đối tác, cũng như với doanh nghiệp;</w:t>
      </w:r>
    </w:p>
    <w:p w14:paraId="7F0DC058"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đầu tư cho hoạt động của doanh nghiệp;</w:t>
      </w:r>
    </w:p>
    <w:p w14:paraId="4D98F7E3"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 Cơ sở để phân chia lợi nhuận cũng như rủi ro trong kinh doanh đối với các thành viên góp vốn.</w:t>
      </w:r>
    </w:p>
    <w:p w14:paraId="1767F5E7" w14:textId="37E33405" w:rsidR="00A1158B" w:rsidRPr="009D2B1D" w:rsidRDefault="00A1158B" w:rsidP="00CA7C0F">
      <w:pPr>
        <w:shd w:val="clear" w:color="auto" w:fill="FFFFFF"/>
        <w:spacing w:after="0" w:line="288" w:lineRule="auto"/>
        <w:ind w:firstLine="576"/>
        <w:jc w:val="both"/>
        <w:textAlignment w:val="baseline"/>
        <w:rPr>
          <w:rFonts w:ascii="Times New Roman" w:eastAsia="Times New Roman" w:hAnsi="Times New Roman" w:cs="Times New Roman"/>
          <w:b/>
          <w:bCs/>
          <w:color w:val="000000" w:themeColor="text1"/>
          <w:sz w:val="28"/>
          <w:szCs w:val="28"/>
        </w:rPr>
      </w:pPr>
      <w:r w:rsidRPr="009D2B1D">
        <w:rPr>
          <w:rFonts w:ascii="Times New Roman" w:eastAsia="Times New Roman" w:hAnsi="Times New Roman" w:cs="Times New Roman"/>
          <w:color w:val="000000" w:themeColor="text1"/>
          <w:sz w:val="28"/>
          <w:szCs w:val="28"/>
        </w:rPr>
        <w:t> </w:t>
      </w:r>
      <w:r w:rsidRPr="009D2B1D">
        <w:rPr>
          <w:rFonts w:ascii="Times New Roman" w:eastAsia="Times New Roman" w:hAnsi="Times New Roman" w:cs="Times New Roman"/>
          <w:b/>
          <w:bCs/>
          <w:color w:val="000000" w:themeColor="text1"/>
          <w:sz w:val="28"/>
          <w:szCs w:val="28"/>
        </w:rPr>
        <w:t>2. Đặc điểm của vốn điều lệ</w:t>
      </w:r>
    </w:p>
    <w:p w14:paraId="0A516521"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điều lệ có một số đặc điểm sau:</w:t>
      </w:r>
    </w:p>
    <w:p w14:paraId="6FA16988"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i/>
          <w:iCs/>
          <w:color w:val="000000" w:themeColor="text1"/>
          <w:sz w:val="28"/>
          <w:szCs w:val="28"/>
          <w:bdr w:val="none" w:sz="0" w:space="0" w:color="auto" w:frame="1"/>
        </w:rPr>
        <w:t>- Vốn điều lệ khi đăng ký thành lập doanh nghiệp là vốn do các thành viên, cổ đông cam kết góp trong một thời hạn nhất định</w:t>
      </w:r>
    </w:p>
    <w:p w14:paraId="1E5A73FE"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quy định tại Luật Doanh nghiệp thì thời hạn để thực hiện việc góp vốn đối với các loại hình doanh nghiệp là không thống nhất. Đối với loại hình công ty cổ phần, người tham gia góp vốn có thời hạn 90 ngày để hoàn thành việc góp vốn; trong khi đó, thời hạn này đối với loại hình trách nhiệm hữu hạn là 36 tháng. Điều này đã làm phát sinh các mâu thuẫn, tranh chấp không đáng có trong nội bộ công ty như: nhầm lẫn về vốn điều lệ, nhầm lẫn về cơ cấu sở hữu,.v.v...</w:t>
      </w:r>
    </w:p>
    <w:p w14:paraId="0F209099"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Nhằm khắc phục vấn đề nêu trên, Luật Doanh nghiệp đã quy định thống nhất về thời hạn góp vốn điều lệ đối với các loại hình doanh nghiệp. Theo đó, thành viên, cổ đông phải thanh toán phần vốn góp, số cổ phần cho công ty đủ và đúng loại tài sản như đã cam kết/đăng ký mua khi đăng ký thành lập doanh nghiệp trong thời hạn 90 ngày, kể từ ngày được cấp Giấy chứng nhận đăng ký doanh nghiệp. Thành viên, cổ đông chưa góp hoặc chưa góp đủ phần vốn điều lệ theo cam kết chịu trách nhiệm tương ứng với phần vốn đã cam kết góp đối với các nghĩa vụ tài chính của công ty phát sinh trong thời gian trước khi công ty đăng ký điều chỉnh vốn điều lệ đối với công ty TNHH và trong thời hạn phải thanh toán đủ số cổ phần đã đăng ký mua đối với công ty cổ phần.</w:t>
      </w:r>
    </w:p>
    <w:p w14:paraId="6F57EF55"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Đối với công ty trách nhiệm hữu hạn thành lập trước ngày 01/7/2015, thời hạn góp vốn thực hiện theo quy định tại Điều lệ công ty.</w:t>
      </w:r>
    </w:p>
    <w:p w14:paraId="1B858119"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i/>
          <w:iCs/>
          <w:color w:val="000000" w:themeColor="text1"/>
          <w:sz w:val="28"/>
          <w:szCs w:val="28"/>
          <w:bdr w:val="none" w:sz="0" w:space="0" w:color="auto" w:frame="1"/>
        </w:rPr>
        <w:t>- Vốn điều lệ có thể được hình thành từ nhiều loại tài sản khác nhau</w:t>
      </w:r>
    </w:p>
    <w:p w14:paraId="6BB6613D"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Luật Doanh nghiệp đã quy định cụ thể các loại tài sản được sử dụng để góp vốn vào công ty. Theo đó, tài sản góp vốn có thể là Đồng Việt Nam, ngoại tệ tự do chuyển đổi, vàng, giá trị quyền sử dụng đất, giá trị quyền sở hữu trí tuệ, công nghệ, bí quyết kỹ thuật, các tài sản khác có thể định giá được bằng Đồng Việt Nam.</w:t>
      </w:r>
    </w:p>
    <w:p w14:paraId="4EBD5419"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xml:space="preserve">Riêng đối với quyền sở hữu trí tuệ, Luật cũng quy định rõ quyền sở hữu trí tuệ được sử dụng để góp vốn bao gồm quyền tác giả, quyền liên quan đến quyền tác giả, quyền sở hữu công nghiệp, quyền đối với giống cây trồng và các quyền sở hữu trí tuệ khác theo quy định của pháp luật về sở hữu trí tuệ. Chỉ cá nhân, tổ chức là chủ </w:t>
      </w:r>
      <w:r w:rsidRPr="009D2B1D">
        <w:rPr>
          <w:rFonts w:ascii="Times New Roman" w:eastAsia="Times New Roman" w:hAnsi="Times New Roman" w:cs="Times New Roman"/>
          <w:color w:val="000000" w:themeColor="text1"/>
          <w:sz w:val="28"/>
          <w:szCs w:val="28"/>
        </w:rPr>
        <w:lastRenderedPageBreak/>
        <w:t>sở hữu hợp pháp đối với các quyền nói trên mới có quyền sử dụng các tài sản đó để góp vốn.</w:t>
      </w:r>
    </w:p>
    <w:p w14:paraId="302130FD" w14:textId="538E2C13" w:rsidR="00A1158B" w:rsidRPr="009D2B1D" w:rsidRDefault="00A1158B" w:rsidP="005745C6">
      <w:pPr>
        <w:shd w:val="clear" w:color="auto" w:fill="FFFFFF"/>
        <w:spacing w:after="0" w:line="288" w:lineRule="auto"/>
        <w:ind w:firstLine="576"/>
        <w:jc w:val="both"/>
        <w:textAlignment w:val="baseline"/>
        <w:rPr>
          <w:rFonts w:ascii="Times New Roman" w:eastAsia="Times New Roman" w:hAnsi="Times New Roman" w:cs="Times New Roman"/>
          <w:b/>
          <w:bCs/>
          <w:color w:val="000000" w:themeColor="text1"/>
          <w:sz w:val="28"/>
          <w:szCs w:val="28"/>
        </w:rPr>
      </w:pPr>
      <w:r w:rsidRPr="009D2B1D">
        <w:rPr>
          <w:rFonts w:ascii="Times New Roman" w:eastAsia="Times New Roman" w:hAnsi="Times New Roman" w:cs="Times New Roman"/>
          <w:color w:val="000000" w:themeColor="text1"/>
          <w:sz w:val="28"/>
          <w:szCs w:val="28"/>
        </w:rPr>
        <w:t> </w:t>
      </w:r>
      <w:r w:rsidRPr="009D2B1D">
        <w:rPr>
          <w:rFonts w:ascii="Times New Roman" w:eastAsia="Times New Roman" w:hAnsi="Times New Roman" w:cs="Times New Roman"/>
          <w:b/>
          <w:bCs/>
          <w:color w:val="000000" w:themeColor="text1"/>
          <w:sz w:val="28"/>
          <w:szCs w:val="28"/>
        </w:rPr>
        <w:t>3. Vai trò cơ bản của vốn điều lệ trong công ty</w:t>
      </w:r>
    </w:p>
    <w:p w14:paraId="04612A50"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Một trong những ý nghĩa lớn nhất của vốn điều lệ là cơ sở để xác định tỷ lệ phần vốn góp hay sở hữu cổ phần của thành viên, cổ đông trong công ty. Thông qua đó làm cơ sở cho việc phân chia quyền, lợi ích và nghĩa vụ giữa các thành viên, cổ đông trong công ty.</w:t>
      </w:r>
    </w:p>
    <w:p w14:paraId="1EA0EEB8"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Cụ thể, thành viên, cổ đông chịu trách nhiệm về các khoản nợ và nghĩa vụ tài sản khác của doanh nghiệp trong phạm vi số vốn đã góp vào doanh nghiệp, trừ một số trường hợp quy định tại Luật Doanh nghiệp.</w:t>
      </w:r>
    </w:p>
    <w:p w14:paraId="1EF2D067"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Đồng thời, Luật Doanh nghiệp cũng quy định thành viên, cổ đông có số phiếu biểu quyết tương ứng với phần vốn góp cũng như được chia lợi nhuận tương ứng với phần vốn góp sau khi công ty đã nộp đủ thuế và hoàn thành các nghĩa vụ tài chính khác theo quy định của pháp luật.</w:t>
      </w:r>
    </w:p>
    <w:p w14:paraId="6431C4CD"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Bên cạnh đó, vốn điều lệ cũng là một trong những cơ sở để xác định điều kiện kinh doanh đối với một số ngành, nghề kinh doanh có điều kiện. Ví dụ: Theo quy định tại Nghị định số 76/2015/NĐ-CP ngày 10/9/2015 thì tổ chức, cá nhân kinh doanh bất động sản phải thành lập doanh nghiệp theo quy định của pháp luật về doanh nghiệp hoặc hợp tác xã theo quy định của pháp luật về hợp tác xã và phải có vốn điều lệ không được thấp hơn 20 tỷ đồng. Hoặc theo quy định tại Khoản 2 Điều 7 Nghị định số 69/2016/NĐ-CP ngày 01/7/2016 của Chính phủ về điều kiện kinh doanh dịch vụ mua bán nợ thì một trong các điều kiện đối với doanh nghiệp kinh doanh hoạt động mua bán nợ là phải có mức vốn điều lệ tối thiểu là 100 tỷ đồng.</w:t>
      </w:r>
    </w:p>
    <w:p w14:paraId="6457CDF4"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bdr w:val="none" w:sz="0" w:space="0" w:color="auto" w:frame="1"/>
        </w:rPr>
        <w:t>Vốn điều lệ còn là sự cam kết mức trách nhiệm bằng vật chất của các thành viên với khách hàng, đối tác, cũng như đối với doanh nghiệp tương đương.</w:t>
      </w:r>
    </w:p>
    <w:p w14:paraId="0FE20540" w14:textId="0AD1DF7C" w:rsidR="00A72095"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4</w:t>
      </w:r>
      <w:r w:rsidR="00A72095" w:rsidRPr="009D2B1D">
        <w:rPr>
          <w:rFonts w:ascii="Times New Roman" w:eastAsia="Times New Roman" w:hAnsi="Times New Roman" w:cs="Times New Roman"/>
          <w:b/>
          <w:bCs/>
          <w:color w:val="000000" w:themeColor="text1"/>
          <w:sz w:val="28"/>
          <w:szCs w:val="28"/>
        </w:rPr>
        <w:t>. Các trường hợp tăng, giảm vốn điều lệ</w:t>
      </w:r>
    </w:p>
    <w:p w14:paraId="6CF013C8" w14:textId="6B7C66A4" w:rsidR="00A72095"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i/>
          <w:iCs/>
          <w:color w:val="000000" w:themeColor="text1"/>
          <w:sz w:val="28"/>
          <w:szCs w:val="28"/>
        </w:rPr>
        <w:t>4</w:t>
      </w:r>
      <w:r w:rsidR="00A72095" w:rsidRPr="009D2B1D">
        <w:rPr>
          <w:rFonts w:ascii="Times New Roman" w:eastAsia="Times New Roman" w:hAnsi="Times New Roman" w:cs="Times New Roman"/>
          <w:b/>
          <w:bCs/>
          <w:i/>
          <w:iCs/>
          <w:color w:val="000000" w:themeColor="text1"/>
          <w:sz w:val="28"/>
          <w:szCs w:val="28"/>
        </w:rPr>
        <w:t>.1. Trường hợp tăng, giảm vốn điều lệ trong công ty TNHH hai thành viên trở lên</w:t>
      </w:r>
    </w:p>
    <w:p w14:paraId="5133CDF3"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của công ty trách nhiệm hữu hạn hai thành viên trở lên khi đăng ký thành lập doanh nghiệp là tổng giá trị phần vốn góp của các thành viên cam kết góp và ghi trong Điều lệ công ty.</w:t>
      </w:r>
    </w:p>
    <w:p w14:paraId="4B70CB81"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TNHH hai thành viên trở lên có thể tăng vốn điều lệ trong trường hợp sau đây:</w:t>
      </w:r>
    </w:p>
    <w:p w14:paraId="413BE0BD"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 Tăng vốn góp của thành viên;</w:t>
      </w:r>
    </w:p>
    <w:p w14:paraId="31299A70"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Tiếp nhận thêm vốn góp của thành viên mới.</w:t>
      </w:r>
    </w:p>
    <w:p w14:paraId="2416841F"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TNHH hai thành viên trở lên có thể giảm vốn điều lệ trong trường hợp sau đây:</w:t>
      </w:r>
    </w:p>
    <w:p w14:paraId="0ED74D0A"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Hoàn trả một phần vốn góp cho thành viên theo tỷ lệ phần vốn góp của họ trong vốn điều lệ của công ty nếu đã hoạt động kinh doanh liên tục từ 02 năm trở lên kể từ ngày đăng ký thành lập doanh nghiệp và bảo đảm thanh toán đủ các khoản nợ và nghĩa vụ tài sản khác sau khi đã hoàn trả cho thành viên;</w:t>
      </w:r>
    </w:p>
    <w:p w14:paraId="74B33FD0"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mua lại phần vốn góp của thành viên theo quy định tại Điều 51 của Luật này;</w:t>
      </w:r>
    </w:p>
    <w:p w14:paraId="1BA3FDD5"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không được các thành viên thanh toán đầy đủ và đúng hạn theo quy định tại Điều 47 của </w:t>
      </w:r>
      <w:hyperlink r:id="rId30"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7D4DA42D"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(Khoản 1 Điều 47, Điều 68 </w:t>
      </w:r>
      <w:hyperlink r:id="rId31"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26A03D59" w14:textId="61F94343" w:rsidR="00A72095"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i/>
          <w:iCs/>
          <w:color w:val="000000" w:themeColor="text1"/>
          <w:sz w:val="28"/>
          <w:szCs w:val="28"/>
        </w:rPr>
        <w:t>4</w:t>
      </w:r>
      <w:r w:rsidR="00A72095" w:rsidRPr="009D2B1D">
        <w:rPr>
          <w:rFonts w:ascii="Times New Roman" w:eastAsia="Times New Roman" w:hAnsi="Times New Roman" w:cs="Times New Roman"/>
          <w:b/>
          <w:bCs/>
          <w:i/>
          <w:iCs/>
          <w:color w:val="000000" w:themeColor="text1"/>
          <w:sz w:val="28"/>
          <w:szCs w:val="28"/>
        </w:rPr>
        <w:t>.2. Trường hợp tăng, giảm vốn điều lệ của công ty TNHH một thành viên</w:t>
      </w:r>
    </w:p>
    <w:p w14:paraId="6C5E417E"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của công ty trách nhiệm hữu hạn một thành viên khi đăng ký thành lập doanh nghiệp là tổng giá trị tài sản do chủ sở hữu công ty cam kết góp và ghi trong Điều lệ công ty.</w:t>
      </w:r>
    </w:p>
    <w:p w14:paraId="77036785"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trách nhiệm hữu hạn một thành viên tăng vốn điều lệ thông qua việc chủ sở hữu công ty góp thêm vốn hoặc huy động thêm vốn góp của người khác. Chủ sở hữu công ty quyết định hình thức tăng và mức tăng vốn điều lệ.</w:t>
      </w:r>
    </w:p>
    <w:p w14:paraId="58A7571F"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trách nhiệm hữu hạn một thành viên giảm vốn điều lệ trong trường hợp sau đây:</w:t>
      </w:r>
    </w:p>
    <w:p w14:paraId="26C61934"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Hoàn trả một phần vốn góp cho chủ sở hữu công ty nếu công ty đã hoạt động kinh doanh liên tục từ 02 năm trở lên kể từ ngày đăng ký thành lập doanh nghiệp và bảo đảm thanh toán đủ các khoản nợ và nghĩa vụ tài sản khác sau khi đã hoàn trả phần vốn góp cho chủ sở hữu công ty;</w:t>
      </w:r>
    </w:p>
    <w:p w14:paraId="18C1AAAC"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không được chủ sở hữu công ty thanh toán đầy đủ và đúng hạn theo quy định tại Điều 75 của </w:t>
      </w:r>
      <w:hyperlink r:id="rId32"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58BD4699"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(Khoản 1 Điều 75, Điều 87 </w:t>
      </w:r>
      <w:hyperlink r:id="rId33"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704A4BAC" w14:textId="4C9F14E3" w:rsidR="00A72095"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i/>
          <w:iCs/>
          <w:color w:val="000000" w:themeColor="text1"/>
          <w:sz w:val="28"/>
          <w:szCs w:val="28"/>
        </w:rPr>
        <w:t>4</w:t>
      </w:r>
      <w:r w:rsidR="00A72095" w:rsidRPr="009D2B1D">
        <w:rPr>
          <w:rFonts w:ascii="Times New Roman" w:eastAsia="Times New Roman" w:hAnsi="Times New Roman" w:cs="Times New Roman"/>
          <w:b/>
          <w:bCs/>
          <w:i/>
          <w:iCs/>
          <w:color w:val="000000" w:themeColor="text1"/>
          <w:sz w:val="28"/>
          <w:szCs w:val="28"/>
        </w:rPr>
        <w:t>.3. Trường hợp tăng, giảm vốn điều lệ của công ty cổ phần</w:t>
      </w:r>
    </w:p>
    <w:p w14:paraId="6D45FB7E"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của công ty cổ phần là tổng mệnh giá cổ phần các loại đã bán. Vốn điều lệ của công ty cổ phần khi đăng ký thành lập doanh nghiệp là tổng mệnh giá cổ phần các loại đã được đăng ký mua và được ghi trong Điều lệ công ty.</w:t>
      </w:r>
    </w:p>
    <w:p w14:paraId="30CE1446"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 Công ty cổ phần có thể tăng vốn điều lệ bằng cách chào bán cồ phần.</w:t>
      </w:r>
    </w:p>
    <w:p w14:paraId="6CEC92E0"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Chào bán cổ phần có thể thực hiện theo các hình thức sau đây:</w:t>
      </w:r>
    </w:p>
    <w:p w14:paraId="4ACB8639"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Chào bán cổ phần cho cổ đông hiện hữu;</w:t>
      </w:r>
    </w:p>
    <w:p w14:paraId="7CE91371"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Chào bán cổ phần riêng lẻ;</w:t>
      </w:r>
    </w:p>
    <w:p w14:paraId="149BD4FB"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Chào bán cổ phần ra công chúng.</w:t>
      </w:r>
    </w:p>
    <w:p w14:paraId="39466FA2"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cổ phần có thể giảm vốn điều lệ trong trường hợp sau đây:</w:t>
      </w:r>
    </w:p>
    <w:p w14:paraId="5E357A82"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Theo quyết định của Đại hội đồng cổ đông, công ty hoàn trả một phần vốn góp cho cổ đông theo tỷ lệ sở hữu cổ phần của họ trong công ty nếu công ty đã hoạt động kinh doanh liên tục từ 02 năm trở lên kể từ ngày đăng ký thành lập doanh nghiệp và bảo đảm thanh toán đủ các khoản nợ và nghĩa vụ tài sản khác sau khi đã hoàn trả cho cổ đông;</w:t>
      </w:r>
    </w:p>
    <w:p w14:paraId="44A9B334"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mua lại cổ phần đã bán theo quy định tại Điều 132 và Điều 133 của </w:t>
      </w:r>
      <w:hyperlink r:id="rId34"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3D4CB3E6"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không được các cổ đông thanh toán đầy đủ và đúng hạn theo quy định tại Điều 113 của </w:t>
      </w:r>
      <w:hyperlink r:id="rId35"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429E4882"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(Khoản 1, 5 Điều 112, Điều 123 </w:t>
      </w:r>
      <w:hyperlink r:id="rId36" w:tgtFrame="_blank" w:history="1">
        <w:r w:rsidRPr="009D2B1D">
          <w:rPr>
            <w:rFonts w:ascii="Times New Roman" w:eastAsia="Times New Roman" w:hAnsi="Times New Roman" w:cs="Times New Roman"/>
            <w:color w:val="000000" w:themeColor="text1"/>
            <w:sz w:val="28"/>
            <w:szCs w:val="28"/>
          </w:rPr>
          <w:t>Luật Doanh nghiệp 2020</w:t>
        </w:r>
      </w:hyperlink>
      <w:r w:rsidRPr="009D2B1D">
        <w:rPr>
          <w:rFonts w:ascii="Times New Roman" w:eastAsia="Times New Roman" w:hAnsi="Times New Roman" w:cs="Times New Roman"/>
          <w:color w:val="000000" w:themeColor="text1"/>
          <w:sz w:val="28"/>
          <w:szCs w:val="28"/>
        </w:rPr>
        <w:t>)</w:t>
      </w:r>
    </w:p>
    <w:p w14:paraId="4D5087C8" w14:textId="750BCF88" w:rsidR="00A72095"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i/>
          <w:iCs/>
          <w:color w:val="000000" w:themeColor="text1"/>
          <w:sz w:val="28"/>
          <w:szCs w:val="28"/>
        </w:rPr>
        <w:t>4</w:t>
      </w:r>
      <w:r w:rsidR="00A72095" w:rsidRPr="009D2B1D">
        <w:rPr>
          <w:rFonts w:ascii="Times New Roman" w:eastAsia="Times New Roman" w:hAnsi="Times New Roman" w:cs="Times New Roman"/>
          <w:b/>
          <w:bCs/>
          <w:i/>
          <w:iCs/>
          <w:color w:val="000000" w:themeColor="text1"/>
          <w:sz w:val="28"/>
          <w:szCs w:val="28"/>
        </w:rPr>
        <w:t>.4. Trường hợp tăng, giảm vốn điều lệ của công ty hợp danh</w:t>
      </w:r>
    </w:p>
    <w:p w14:paraId="2575D45B"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Vốn điều lệ của công ty hợp danh là tổng giá trị tài sản do các thành viên công ty đã góp hoặc cam kết góp khi thành lập công ty hợp danh.</w:t>
      </w:r>
    </w:p>
    <w:p w14:paraId="34607296"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hợp danh có thể tăng vốn điều lệ thông qua việc tiếp nhận thêm thành viên hợp danh hoặc thành viên góp vốn.</w:t>
      </w:r>
    </w:p>
    <w:p w14:paraId="7318C1ED" w14:textId="77777777" w:rsidR="00A72095" w:rsidRPr="009D2B1D" w:rsidRDefault="00A7209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Công ty hợp danh có thể giảm vốn điều lệ thông qua việc chấm dứt tư cách thành viên hợp danh.</w:t>
      </w:r>
    </w:p>
    <w:p w14:paraId="61E68288" w14:textId="7AF688A7" w:rsidR="00A1158B" w:rsidRPr="009D2B1D" w:rsidRDefault="00CA7C0F" w:rsidP="004441F9">
      <w:pPr>
        <w:shd w:val="clear" w:color="auto" w:fill="FFFFFF"/>
        <w:spacing w:after="0" w:line="288" w:lineRule="auto"/>
        <w:ind w:firstLine="576"/>
        <w:jc w:val="both"/>
        <w:textAlignment w:val="baseline"/>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w:t>
      </w:r>
      <w:r w:rsidR="00A1158B" w:rsidRPr="009D2B1D">
        <w:rPr>
          <w:rFonts w:ascii="Times New Roman" w:eastAsia="Times New Roman" w:hAnsi="Times New Roman" w:cs="Times New Roman"/>
          <w:b/>
          <w:bCs/>
          <w:color w:val="000000" w:themeColor="text1"/>
          <w:sz w:val="28"/>
          <w:szCs w:val="28"/>
        </w:rPr>
        <w:t>. Góp vốn điều lệ công ty bằng tài sả</w:t>
      </w:r>
      <w:r>
        <w:rPr>
          <w:rFonts w:ascii="Times New Roman" w:eastAsia="Times New Roman" w:hAnsi="Times New Roman" w:cs="Times New Roman"/>
          <w:b/>
          <w:bCs/>
          <w:color w:val="000000" w:themeColor="text1"/>
          <w:sz w:val="28"/>
          <w:szCs w:val="28"/>
        </w:rPr>
        <w:t>n</w:t>
      </w:r>
    </w:p>
    <w:p w14:paraId="632A8FD8"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quy định tại Điều 34 Luật doanh nghiệp 2020 thì:</w:t>
      </w:r>
    </w:p>
    <w:p w14:paraId="72DD35A5"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1. Tài sản góp vốn là Đồng Việt Nam, ngoại tệ tự do chuyển đổi, vàng, quyền sử dụng đất, quyền sở hữu trí tuệ, công nghệ, bí quyết kỹ thuật, tài sản khác có thể định giá được bằng Đồng Việt Nam.</w:t>
      </w:r>
    </w:p>
    <w:p w14:paraId="2B5FF587"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Tức là bạn có thể góp vốn điều lệ bằng các tài sản như bất động sản, ô tô, quyền sử dụng cho thuê mặt bằng..., miễn sao có văn bản thỏa thuận đồng ý về giá trị tài sản của tất cả các thành viên góp vốn.</w:t>
      </w:r>
    </w:p>
    <w:p w14:paraId="1B5AF5D1"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p w14:paraId="0B950821" w14:textId="22095C47" w:rsidR="00A1158B"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Các quyền trên cần được định giá, hoặc thỏa thuận với các thành viên về giá trị tài sản đó, sau đó quy đổi giá trị ra tiền VNĐ và được ghi vào biên bản góp vốn tài sản của công ty.</w:t>
      </w:r>
    </w:p>
    <w:p w14:paraId="5C25CAAF" w14:textId="40F574F0" w:rsidR="00CA7C0F" w:rsidRPr="00CA7C0F" w:rsidRDefault="00CA7C0F" w:rsidP="004441F9">
      <w:pPr>
        <w:shd w:val="clear" w:color="auto" w:fill="FFFFFF"/>
        <w:spacing w:after="0" w:line="288" w:lineRule="auto"/>
        <w:ind w:firstLine="576"/>
        <w:jc w:val="both"/>
        <w:textAlignment w:val="baseline"/>
        <w:rPr>
          <w:rFonts w:ascii="Times New Roman" w:eastAsia="Times New Roman" w:hAnsi="Times New Roman" w:cs="Times New Roman"/>
          <w:b/>
          <w:color w:val="000000" w:themeColor="text1"/>
          <w:sz w:val="28"/>
          <w:szCs w:val="28"/>
        </w:rPr>
      </w:pPr>
      <w:r w:rsidRPr="00CA7C0F">
        <w:rPr>
          <w:rFonts w:ascii="Times New Roman" w:eastAsia="Times New Roman" w:hAnsi="Times New Roman" w:cs="Times New Roman"/>
          <w:b/>
          <w:color w:val="000000" w:themeColor="text1"/>
          <w:sz w:val="28"/>
          <w:szCs w:val="28"/>
        </w:rPr>
        <w:t>6. Các vướng mắc thường gặp</w:t>
      </w:r>
    </w:p>
    <w:p w14:paraId="25BD223B" w14:textId="7705D3AC" w:rsidR="00A1158B" w:rsidRPr="009D2B1D" w:rsidRDefault="00A1158B" w:rsidP="00CA7C0F">
      <w:pPr>
        <w:shd w:val="clear" w:color="auto" w:fill="FFFFFF"/>
        <w:spacing w:after="0" w:line="288" w:lineRule="auto"/>
        <w:ind w:firstLine="576"/>
        <w:jc w:val="both"/>
        <w:textAlignment w:val="baseline"/>
        <w:rPr>
          <w:rFonts w:ascii="Times New Roman" w:eastAsia="Times New Roman" w:hAnsi="Times New Roman" w:cs="Times New Roman"/>
          <w:b/>
          <w:bCs/>
          <w:color w:val="000000" w:themeColor="text1"/>
          <w:sz w:val="28"/>
          <w:szCs w:val="28"/>
        </w:rPr>
      </w:pPr>
      <w:r w:rsidRPr="009D2B1D">
        <w:rPr>
          <w:rFonts w:ascii="Times New Roman" w:eastAsia="Times New Roman" w:hAnsi="Times New Roman" w:cs="Times New Roman"/>
          <w:color w:val="000000" w:themeColor="text1"/>
          <w:sz w:val="28"/>
          <w:szCs w:val="28"/>
        </w:rPr>
        <w:t> </w:t>
      </w:r>
      <w:r w:rsidR="00CA7C0F">
        <w:rPr>
          <w:rFonts w:ascii="Times New Roman" w:eastAsia="Times New Roman" w:hAnsi="Times New Roman" w:cs="Times New Roman"/>
          <w:b/>
          <w:bCs/>
          <w:color w:val="000000" w:themeColor="text1"/>
          <w:sz w:val="28"/>
          <w:szCs w:val="28"/>
        </w:rPr>
        <w:t xml:space="preserve">Câu hỏi 1: </w:t>
      </w:r>
      <w:r w:rsidRPr="009D2B1D">
        <w:rPr>
          <w:rFonts w:ascii="Times New Roman" w:eastAsia="Times New Roman" w:hAnsi="Times New Roman" w:cs="Times New Roman"/>
          <w:b/>
          <w:bCs/>
          <w:color w:val="000000" w:themeColor="text1"/>
          <w:sz w:val="28"/>
          <w:szCs w:val="28"/>
        </w:rPr>
        <w:t>Có cần chứng minh vốn điều lệ của công ty, doanh nghiệp không?</w:t>
      </w:r>
    </w:p>
    <w:p w14:paraId="63D70846"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Tùy nhu cầu, ngành nghề và quy mô hoạt động, doanh nghiệp sẽ tự đăng ký vốn điều lệ công ty. Hiện tại, các doanh nghiệp 100% vốn Việt Nam </w:t>
      </w:r>
      <w:r w:rsidRPr="00CA7C0F">
        <w:rPr>
          <w:rFonts w:ascii="Times New Roman" w:eastAsia="Times New Roman" w:hAnsi="Times New Roman" w:cs="Times New Roman"/>
          <w:bCs/>
          <w:color w:val="000000" w:themeColor="text1"/>
          <w:sz w:val="28"/>
          <w:szCs w:val="28"/>
          <w:bdr w:val="none" w:sz="0" w:space="0" w:color="auto" w:frame="1"/>
        </w:rPr>
        <w:t>không cần chứng minh</w:t>
      </w:r>
      <w:r w:rsidRPr="00CA7C0F">
        <w:rPr>
          <w:rFonts w:ascii="Times New Roman" w:eastAsia="Times New Roman" w:hAnsi="Times New Roman" w:cs="Times New Roman"/>
          <w:color w:val="000000" w:themeColor="text1"/>
          <w:sz w:val="28"/>
          <w:szCs w:val="28"/>
        </w:rPr>
        <w:t> </w:t>
      </w:r>
      <w:r w:rsidRPr="009D2B1D">
        <w:rPr>
          <w:rFonts w:ascii="Times New Roman" w:eastAsia="Times New Roman" w:hAnsi="Times New Roman" w:cs="Times New Roman"/>
          <w:color w:val="000000" w:themeColor="text1"/>
          <w:sz w:val="28"/>
          <w:szCs w:val="28"/>
        </w:rPr>
        <w:t>có đủ vốn điều lệ khi làm thủ tục đăng ký kinh doanh. Tuy nhiên, nếu có vấn đề gì phát sinh trong quá trình hoạt động, bạn vẫn phải chịu trách nhiệm trên số vốn điều lệ đã đăng ký.</w:t>
      </w:r>
    </w:p>
    <w:p w14:paraId="4B655346"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Tuy nhiên, có một số doanh nghiệp vì thế mà lựa chọn mức vốn quá thấp hoặc quá cao so với năng lực tài chính thực sự. Điều này là không nên.</w:t>
      </w:r>
    </w:p>
    <w:p w14:paraId="09388936"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Vì sao?</w:t>
      </w:r>
    </w:p>
    <w:p w14:paraId="58F49BDB"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Vì với số vốn điều lệ quá thấp thì các chủ doanh nghiệp không thể nào thể hiện được tiềm lực tài chính cũng như quy mô của công ty mình cho đối tác thấy. Điều này dẫn đến sự thiếu tin tưởng trong hợp tác kinh doanh, thậm chí không tìm được đối tác cho mình. Thêm nữa khi doanh nghiệp cần nguồn vốn hỗ trợ từ ngân hàng thì với số vốn quá thấp cũng không tạo được “niềm tin” cho ngân hàng để được vay số vốn vượt ngoài khả năng, vượt ngoài vốn điều lệ.</w:t>
      </w:r>
    </w:p>
    <w:p w14:paraId="3B0C0616"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Còn nếu chủ doanh nghiệp đưa ra số vốn ngoài khả năng của bản thân thì cái lợi trước mắt là tạo được niềm tin cho đối tác, ngân hàng nhưng rủi ro cũng rất lớn. Giả sử làm ăn thất bại dẫn đến gây nợ cho khách hàng; nặng hơn là giải thể, phá sản; hoặc vay ngân hàng quá nhiều dẫn đến không có khả năng chi trả, chủ doanh nghiệp phải chịu trách nhiệm bằng đúng số vốn mà mình đã đăng ký.</w:t>
      </w:r>
    </w:p>
    <w:p w14:paraId="5752588D"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bdr w:val="none" w:sz="0" w:space="0" w:color="auto" w:frame="1"/>
        </w:rPr>
        <w:t>- Không có cơ quan nào kiểm tra. Việc đăng ký vốn điều lệ và việc chịu trách nhiệm trước pháp luật về mức vốn điều lệ là vấn đề nội bộ của doanh nghiệp. Doanh nghiệp chỉ cần kinh doanh đúng luật và chịu trách nhiệm trong phạm vi số vốn điều lệ mình đăng ký khi xảy ra các vấn đề liên quan đế giải thể, phá sản thì cần đảm bảo nghĩa vụ với người lao động, đối tác, chủ nợ...</w:t>
      </w:r>
    </w:p>
    <w:p w14:paraId="0D1BFBE8"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Vốn điều lệ tối thiểu để mở công ty/góp vốn là bao nhiêu? </w:t>
      </w:r>
      <w:r w:rsidRPr="009D2B1D">
        <w:rPr>
          <w:rFonts w:ascii="Times New Roman" w:eastAsia="Times New Roman" w:hAnsi="Times New Roman" w:cs="Times New Roman"/>
          <w:color w:val="000000" w:themeColor="text1"/>
          <w:sz w:val="28"/>
          <w:szCs w:val="28"/>
          <w:bdr w:val="none" w:sz="0" w:space="0" w:color="auto" w:frame="1"/>
        </w:rPr>
        <w:t>Câu trả lời là còn tuỳ vào doanh nghiệp đó đăng ký ngành nghề kinh doanh gì? Nếu đăng ký ngành nghề kinh doanh bình thường không yêu cầu mức </w:t>
      </w:r>
      <w:r w:rsidRPr="009D2B1D">
        <w:rPr>
          <w:rFonts w:ascii="Times New Roman" w:eastAsia="Times New Roman" w:hAnsi="Times New Roman" w:cs="Times New Roman"/>
          <w:color w:val="000000" w:themeColor="text1"/>
          <w:sz w:val="28"/>
          <w:szCs w:val="28"/>
        </w:rPr>
        <w:t>vốn pháp định</w:t>
      </w:r>
      <w:r w:rsidRPr="009D2B1D">
        <w:rPr>
          <w:rFonts w:ascii="Times New Roman" w:eastAsia="Times New Roman" w:hAnsi="Times New Roman" w:cs="Times New Roman"/>
          <w:color w:val="000000" w:themeColor="text1"/>
          <w:sz w:val="28"/>
          <w:szCs w:val="28"/>
          <w:bdr w:val="none" w:sz="0" w:space="0" w:color="auto" w:frame="1"/>
        </w:rPr>
        <w:t> thì theo luật không quy định mức vốn điều lệ tối thiểu, tức là kê khai mức vốn điều lệ phù hợp với quy mô thực tế của doanh nghiệp mình bao nhiêu cũng được. Còn nếu doanh nghiệp đăng ký ngành nghề kinh doanh yêu cầu mức vốn pháp định thì doanh nghiệp cần kê khai mức vốn điều lệ tối thiểu bằng với mức quy định của ngành nghề kinh doanh đó.</w:t>
      </w:r>
    </w:p>
    <w:p w14:paraId="059BAF3A" w14:textId="77777777" w:rsidR="00A1158B" w:rsidRPr="009D2B1D" w:rsidRDefault="00A1158B" w:rsidP="004441F9">
      <w:pPr>
        <w:shd w:val="clear" w:color="auto" w:fill="FFFFFF"/>
        <w:spacing w:after="0" w:line="288" w:lineRule="auto"/>
        <w:ind w:firstLine="576"/>
        <w:jc w:val="both"/>
        <w:textAlignment w:val="baseline"/>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bdr w:val="none" w:sz="0" w:space="0" w:color="auto" w:frame="1"/>
        </w:rPr>
        <w:t>Pháp luật không có quy định về mức vốn điều lệ tối đa, tức là không hạn chế việc bỏ tiền góp vốn vào làm ăn kinh doanh. Các bạn có toàn quyền quyết định mức vốn góp vào doanh nghiệp để phục vụ mục đích kinh doanh của công ty và đảm bảo việc hoạt động kinh doanh hiệu quả. Tức là bỏ bao nhiêu tiền góp vốn vào cũng được.</w:t>
      </w:r>
    </w:p>
    <w:p w14:paraId="75A98E21" w14:textId="225F2BD8" w:rsidR="00BE13F0" w:rsidRPr="009D2B1D" w:rsidRDefault="00CA7C0F"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Câu hỏi 2: </w:t>
      </w:r>
      <w:r w:rsidR="00BE13F0" w:rsidRPr="009D2B1D">
        <w:rPr>
          <w:rFonts w:ascii="Times New Roman" w:eastAsia="Times New Roman" w:hAnsi="Times New Roman" w:cs="Times New Roman"/>
          <w:b/>
          <w:bCs/>
          <w:color w:val="000000" w:themeColor="text1"/>
          <w:sz w:val="28"/>
          <w:szCs w:val="28"/>
        </w:rPr>
        <w:t>Phân biệt vốn điều lệ và vốn pháp định</w:t>
      </w:r>
    </w:p>
    <w:p w14:paraId="04BE7DA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Mặc dù </w:t>
      </w:r>
      <w:hyperlink r:id="rId37" w:history="1">
        <w:r w:rsidRPr="009D2B1D">
          <w:rPr>
            <w:rFonts w:ascii="Times New Roman" w:eastAsia="Times New Roman" w:hAnsi="Times New Roman" w:cs="Times New Roman"/>
            <w:color w:val="000000" w:themeColor="text1"/>
            <w:sz w:val="28"/>
            <w:szCs w:val="28"/>
          </w:rPr>
          <w:t>vốn điều lệ và vốn pháp định</w:t>
        </w:r>
      </w:hyperlink>
      <w:r w:rsidRPr="009D2B1D">
        <w:rPr>
          <w:rFonts w:ascii="Times New Roman" w:eastAsia="Times New Roman" w:hAnsi="Times New Roman" w:cs="Times New Roman"/>
          <w:color w:val="000000" w:themeColor="text1"/>
          <w:sz w:val="28"/>
          <w:szCs w:val="28"/>
        </w:rPr>
        <w:t> đều là số vốn ban đầu do nhà đầu tư cùng góp vào doanh nghiệp nhưng giữa chúng cũng tồn tại những khác biệt sau đây:</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5"/>
        <w:gridCol w:w="3330"/>
        <w:gridCol w:w="4675"/>
      </w:tblGrid>
      <w:tr w:rsidR="00021A86" w:rsidRPr="009D2B1D" w14:paraId="3F4F3714" w14:textId="77777777" w:rsidTr="00FE7415">
        <w:tc>
          <w:tcPr>
            <w:tcW w:w="1345" w:type="dxa"/>
            <w:shd w:val="clear" w:color="auto" w:fill="F7CAAC"/>
            <w:tcMar>
              <w:top w:w="0" w:type="dxa"/>
              <w:left w:w="108" w:type="dxa"/>
              <w:bottom w:w="0" w:type="dxa"/>
              <w:right w:w="108" w:type="dxa"/>
            </w:tcMar>
            <w:vAlign w:val="center"/>
            <w:hideMark/>
          </w:tcPr>
          <w:p w14:paraId="1AE643DC" w14:textId="3D44BA99" w:rsidR="00BE13F0" w:rsidRPr="00FE7415" w:rsidRDefault="00FE7415" w:rsidP="00FE7415">
            <w:pPr>
              <w:spacing w:after="0" w:line="288" w:lineRule="auto"/>
              <w:jc w:val="center"/>
              <w:rPr>
                <w:rFonts w:ascii="Times New Roman" w:eastAsia="Times New Roman" w:hAnsi="Times New Roman" w:cs="Times New Roman"/>
                <w:b/>
                <w:color w:val="000000" w:themeColor="text1"/>
                <w:sz w:val="28"/>
                <w:szCs w:val="28"/>
              </w:rPr>
            </w:pPr>
            <w:r w:rsidRPr="00FE7415">
              <w:rPr>
                <w:rFonts w:ascii="Times New Roman" w:eastAsia="Times New Roman" w:hAnsi="Times New Roman" w:cs="Times New Roman"/>
                <w:b/>
                <w:color w:val="000000" w:themeColor="text1"/>
                <w:sz w:val="28"/>
                <w:szCs w:val="28"/>
              </w:rPr>
              <w:t>Nội dung</w:t>
            </w:r>
          </w:p>
        </w:tc>
        <w:tc>
          <w:tcPr>
            <w:tcW w:w="3330" w:type="dxa"/>
            <w:shd w:val="clear" w:color="auto" w:fill="F7CAAC"/>
            <w:tcMar>
              <w:top w:w="0" w:type="dxa"/>
              <w:left w:w="108" w:type="dxa"/>
              <w:bottom w:w="0" w:type="dxa"/>
              <w:right w:w="108" w:type="dxa"/>
            </w:tcMar>
            <w:vAlign w:val="center"/>
            <w:hideMark/>
          </w:tcPr>
          <w:p w14:paraId="0EC61582" w14:textId="77777777" w:rsidR="00BE13F0" w:rsidRPr="009D2B1D" w:rsidRDefault="00BE13F0" w:rsidP="00FE7415">
            <w:pPr>
              <w:spacing w:after="0" w:line="288" w:lineRule="auto"/>
              <w:jc w:val="center"/>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b/>
                <w:bCs/>
                <w:color w:val="000000" w:themeColor="text1"/>
                <w:sz w:val="28"/>
                <w:szCs w:val="28"/>
              </w:rPr>
              <w:t>Vốn điều lệ</w:t>
            </w:r>
          </w:p>
        </w:tc>
        <w:tc>
          <w:tcPr>
            <w:tcW w:w="4675" w:type="dxa"/>
            <w:shd w:val="clear" w:color="auto" w:fill="F7CAAC"/>
            <w:tcMar>
              <w:top w:w="0" w:type="dxa"/>
              <w:left w:w="108" w:type="dxa"/>
              <w:bottom w:w="0" w:type="dxa"/>
              <w:right w:w="108" w:type="dxa"/>
            </w:tcMar>
            <w:vAlign w:val="center"/>
            <w:hideMark/>
          </w:tcPr>
          <w:p w14:paraId="6033D3BF" w14:textId="77777777" w:rsidR="00BE13F0" w:rsidRPr="009D2B1D" w:rsidRDefault="00BE13F0" w:rsidP="00FE7415">
            <w:pPr>
              <w:spacing w:after="0" w:line="288" w:lineRule="auto"/>
              <w:jc w:val="center"/>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b/>
                <w:bCs/>
                <w:color w:val="000000" w:themeColor="text1"/>
                <w:sz w:val="28"/>
                <w:szCs w:val="28"/>
              </w:rPr>
              <w:t>Vốn pháp định</w:t>
            </w:r>
          </w:p>
        </w:tc>
      </w:tr>
      <w:tr w:rsidR="00021A86" w:rsidRPr="009D2B1D" w14:paraId="3E973D05" w14:textId="77777777" w:rsidTr="00FE7415">
        <w:tc>
          <w:tcPr>
            <w:tcW w:w="1345" w:type="dxa"/>
            <w:tcMar>
              <w:top w:w="0" w:type="dxa"/>
              <w:left w:w="108" w:type="dxa"/>
              <w:bottom w:w="0" w:type="dxa"/>
              <w:right w:w="108" w:type="dxa"/>
            </w:tcMar>
            <w:vAlign w:val="center"/>
            <w:hideMark/>
          </w:tcPr>
          <w:p w14:paraId="5D00DB4C"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Cơ sở xác định</w:t>
            </w:r>
          </w:p>
        </w:tc>
        <w:tc>
          <w:tcPr>
            <w:tcW w:w="3330" w:type="dxa"/>
            <w:tcMar>
              <w:top w:w="0" w:type="dxa"/>
              <w:left w:w="108" w:type="dxa"/>
              <w:bottom w:w="0" w:type="dxa"/>
              <w:right w:w="108" w:type="dxa"/>
            </w:tcMar>
            <w:hideMark/>
          </w:tcPr>
          <w:p w14:paraId="04E9D512"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Khi thành lập công ty bắt buộc phải đăng ký vốn điều lệ.</w:t>
            </w:r>
          </w:p>
          <w:p w14:paraId="199FBA94"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điều lệ có thể tăng hoặc giảm trong quá trình hoạt động của doanh nghiệp.</w:t>
            </w:r>
          </w:p>
        </w:tc>
        <w:tc>
          <w:tcPr>
            <w:tcW w:w="4675" w:type="dxa"/>
            <w:tcMar>
              <w:top w:w="0" w:type="dxa"/>
              <w:left w:w="108" w:type="dxa"/>
              <w:bottom w:w="0" w:type="dxa"/>
              <w:right w:w="108" w:type="dxa"/>
            </w:tcMar>
            <w:hideMark/>
          </w:tcPr>
          <w:p w14:paraId="1FC58B98"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Vốn pháp định không phụ thuộc vào loại hình doanh nghiệp mà được xác định theo ngành nghề kinh doanh cụ thể.</w:t>
            </w:r>
          </w:p>
          <w:p w14:paraId="78891929"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Công ty dự định thành lập có ngành nghề kinh doanh yêu cầu vốn pháp định thì vốn góp phải tối thiểu bằng vốn pháp định.</w:t>
            </w:r>
          </w:p>
        </w:tc>
      </w:tr>
      <w:tr w:rsidR="00021A86" w:rsidRPr="009D2B1D" w14:paraId="1A5280C5" w14:textId="77777777" w:rsidTr="00FE7415">
        <w:tc>
          <w:tcPr>
            <w:tcW w:w="1345" w:type="dxa"/>
            <w:tcMar>
              <w:top w:w="0" w:type="dxa"/>
              <w:left w:w="108" w:type="dxa"/>
              <w:bottom w:w="0" w:type="dxa"/>
              <w:right w:w="108" w:type="dxa"/>
            </w:tcMar>
            <w:vAlign w:val="center"/>
            <w:hideMark/>
          </w:tcPr>
          <w:p w14:paraId="4B0CBDDC"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Mức vốn</w:t>
            </w:r>
          </w:p>
        </w:tc>
        <w:tc>
          <w:tcPr>
            <w:tcW w:w="3330" w:type="dxa"/>
            <w:tcMar>
              <w:top w:w="0" w:type="dxa"/>
              <w:left w:w="108" w:type="dxa"/>
              <w:bottom w:w="0" w:type="dxa"/>
              <w:right w:w="108" w:type="dxa"/>
            </w:tcMar>
            <w:hideMark/>
          </w:tcPr>
          <w:p w14:paraId="42DC80FB"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Pháp luật không quy định mức vốn điều lệ tối thiểu hay tối đa khi thành lập công ty.</w:t>
            </w:r>
          </w:p>
        </w:tc>
        <w:tc>
          <w:tcPr>
            <w:tcW w:w="4675" w:type="dxa"/>
            <w:tcMar>
              <w:top w:w="0" w:type="dxa"/>
              <w:left w:w="108" w:type="dxa"/>
              <w:bottom w:w="0" w:type="dxa"/>
              <w:right w:w="108" w:type="dxa"/>
            </w:tcMar>
            <w:hideMark/>
          </w:tcPr>
          <w:p w14:paraId="204CF1C8"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Mức vốn pháp định là cố định đối với từng ngành nghề kinh doanh.</w:t>
            </w:r>
          </w:p>
          <w:p w14:paraId="42E43BE8"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Ví dụ:</w:t>
            </w:r>
          </w:p>
          <w:p w14:paraId="48DAFA3D"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Ngành nghề kinh doanh bất động sản vốn pháp định 6 tỷ</w:t>
            </w:r>
          </w:p>
          <w:p w14:paraId="13BED087"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Cho thuê lại lao động yêu cầu vốn pháp định 2 tỷ đồng</w:t>
            </w:r>
          </w:p>
        </w:tc>
      </w:tr>
      <w:tr w:rsidR="00021A86" w:rsidRPr="009D2B1D" w14:paraId="208E595A" w14:textId="77777777" w:rsidTr="00FE7415">
        <w:tc>
          <w:tcPr>
            <w:tcW w:w="1345" w:type="dxa"/>
            <w:tcMar>
              <w:top w:w="0" w:type="dxa"/>
              <w:left w:w="108" w:type="dxa"/>
              <w:bottom w:w="0" w:type="dxa"/>
              <w:right w:w="108" w:type="dxa"/>
            </w:tcMar>
            <w:vAlign w:val="center"/>
            <w:hideMark/>
          </w:tcPr>
          <w:p w14:paraId="6A22C21B"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Thời hạn góp vốn</w:t>
            </w:r>
          </w:p>
        </w:tc>
        <w:tc>
          <w:tcPr>
            <w:tcW w:w="3330" w:type="dxa"/>
            <w:tcMar>
              <w:top w:w="0" w:type="dxa"/>
              <w:left w:w="108" w:type="dxa"/>
              <w:bottom w:w="0" w:type="dxa"/>
              <w:right w:w="108" w:type="dxa"/>
            </w:tcMar>
            <w:hideMark/>
          </w:tcPr>
          <w:p w14:paraId="527D7D05"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Góp vốn đủ từ khi bắt đầu hoạt động kinh doanh ngành, nghề có điều kiện</w:t>
            </w:r>
          </w:p>
        </w:tc>
        <w:tc>
          <w:tcPr>
            <w:tcW w:w="4675" w:type="dxa"/>
            <w:tcMar>
              <w:top w:w="0" w:type="dxa"/>
              <w:left w:w="108" w:type="dxa"/>
              <w:bottom w:w="0" w:type="dxa"/>
              <w:right w:w="108" w:type="dxa"/>
            </w:tcMar>
            <w:hideMark/>
          </w:tcPr>
          <w:p w14:paraId="33320248" w14:textId="77777777" w:rsidR="00BE13F0" w:rsidRPr="009D2B1D" w:rsidRDefault="00BE13F0" w:rsidP="005745C6">
            <w:pPr>
              <w:spacing w:after="0" w:line="288"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Thực hiện góp vốn trong vòng 90 ngày kể từ ngày đăng ký</w:t>
            </w:r>
          </w:p>
        </w:tc>
      </w:tr>
    </w:tbl>
    <w:p w14:paraId="1DB66B77" w14:textId="77777777" w:rsidR="00FE7415" w:rsidRDefault="00FE7415"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p>
    <w:p w14:paraId="10069954" w14:textId="26BD9AFF" w:rsidR="00BE13F0" w:rsidRPr="009D2B1D" w:rsidRDefault="00FE7415"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Câu hỏi 3: </w:t>
      </w:r>
      <w:r w:rsidR="00BE13F0" w:rsidRPr="009D2B1D">
        <w:rPr>
          <w:rFonts w:ascii="Times New Roman" w:eastAsia="Times New Roman" w:hAnsi="Times New Roman" w:cs="Times New Roman"/>
          <w:b/>
          <w:bCs/>
          <w:color w:val="000000" w:themeColor="text1"/>
          <w:sz w:val="28"/>
          <w:szCs w:val="28"/>
        </w:rPr>
        <w:t>Có cần chứng minh vốn điều lệ khi thành lập doanh nghiệp không?</w:t>
      </w:r>
    </w:p>
    <w:p w14:paraId="6834F7DE"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Bên cạnh nội dung </w:t>
      </w:r>
      <w:r w:rsidRPr="00FE7415">
        <w:rPr>
          <w:rFonts w:ascii="Times New Roman" w:eastAsia="Times New Roman" w:hAnsi="Times New Roman" w:cs="Times New Roman"/>
          <w:bCs/>
          <w:color w:val="000000" w:themeColor="text1"/>
          <w:sz w:val="28"/>
          <w:szCs w:val="28"/>
        </w:rPr>
        <w:t>vốn điều lệ là gì</w:t>
      </w:r>
      <w:r w:rsidRPr="00FE7415">
        <w:rPr>
          <w:rFonts w:ascii="Times New Roman" w:eastAsia="Times New Roman" w:hAnsi="Times New Roman" w:cs="Times New Roman"/>
          <w:color w:val="000000" w:themeColor="text1"/>
          <w:sz w:val="28"/>
          <w:szCs w:val="28"/>
        </w:rPr>
        <w:t>,</w:t>
      </w:r>
      <w:r w:rsidRPr="009D2B1D">
        <w:rPr>
          <w:rFonts w:ascii="Times New Roman" w:eastAsia="Times New Roman" w:hAnsi="Times New Roman" w:cs="Times New Roman"/>
          <w:color w:val="000000" w:themeColor="text1"/>
          <w:sz w:val="28"/>
          <w:szCs w:val="28"/>
        </w:rPr>
        <w:t xml:space="preserve"> nhiều người cũng đặc biệt quan tâm đến việc </w:t>
      </w:r>
      <w:hyperlink r:id="rId38" w:history="1">
        <w:r w:rsidRPr="009D2B1D">
          <w:rPr>
            <w:rFonts w:ascii="Times New Roman" w:eastAsia="Times New Roman" w:hAnsi="Times New Roman" w:cs="Times New Roman"/>
            <w:color w:val="000000" w:themeColor="text1"/>
            <w:sz w:val="28"/>
            <w:szCs w:val="28"/>
          </w:rPr>
          <w:t>có phải chứng minh vốn điều lệ khi thành lập doanh nghiệp hay không</w:t>
        </w:r>
      </w:hyperlink>
      <w:r w:rsidRPr="009D2B1D">
        <w:rPr>
          <w:rFonts w:ascii="Times New Roman" w:eastAsia="Times New Roman" w:hAnsi="Times New Roman" w:cs="Times New Roman"/>
          <w:color w:val="000000" w:themeColor="text1"/>
          <w:sz w:val="28"/>
          <w:szCs w:val="28"/>
        </w:rPr>
        <w:t>.</w:t>
      </w:r>
    </w:p>
    <w:p w14:paraId="5315DD0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Hiện nay pháp luật không quy định về nghĩa vụ chứng minh vốn điều lệ khi thành lập doanh nghiệp. Tại các bước đăng ký thành lập, doanh nghiệp cũng không cần chứng minh vốn điều lệ.</w:t>
      </w:r>
    </w:p>
    <w:p w14:paraId="08CC7C0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đó, vốn điều lệ do doanh nghiệp tự đăng ký và chịu trách nhiệm về tính chính xác của nội dung kê khai.</w:t>
      </w:r>
    </w:p>
    <w:p w14:paraId="27BE09E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Tuy nhiên, nếu ngành nghề đăng ký kinh doanh của doanh nghiệp có yêu cầu vốn pháp định thì vốn điều lệ không được thấp hơn vốn pháp định, trường hợp yêu cầu vốn ký quỹ thì doanh nghiệp sẽ cần phải chứng minh.</w:t>
      </w:r>
    </w:p>
    <w:p w14:paraId="1D53B318" w14:textId="1C98F39E" w:rsidR="00BE13F0" w:rsidRPr="009D2B1D" w:rsidRDefault="00FE7415"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Câu hỏi 4:</w:t>
      </w:r>
      <w:r w:rsidR="00BE13F0" w:rsidRPr="009D2B1D">
        <w:rPr>
          <w:rFonts w:ascii="Times New Roman" w:eastAsia="Times New Roman" w:hAnsi="Times New Roman" w:cs="Times New Roman"/>
          <w:b/>
          <w:bCs/>
          <w:color w:val="000000" w:themeColor="text1"/>
          <w:sz w:val="28"/>
          <w:szCs w:val="28"/>
        </w:rPr>
        <w:t xml:space="preserve"> Vốn điều lệ bao nhiêu là đủ?</w:t>
      </w:r>
    </w:p>
    <w:p w14:paraId="2F0A6255"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Hiện nay, Luật doanh nghiệp năm 2020 không quy định mức vốn điều lệ cụ thể đối với doanh nghiệp nói chung. Tùy vào khả năng kinh tế của chủ sở hữu và mục đích hoạt động mà doanh nghiệp sẽ tự quyết định mức vốn điều lệ cụ thể. Thông thường doanh nghiệp sẽ xem xét đến các yếu tố sau để quyết định vốn điều lệ:</w:t>
      </w:r>
    </w:p>
    <w:p w14:paraId="3C6B1CB6"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Khả năng tài chính của chủ sở hữu.</w:t>
      </w:r>
    </w:p>
    <w:p w14:paraId="7439570B"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Phạm vi, quy mô hoạt động của doanh nghiệp.</w:t>
      </w:r>
    </w:p>
    <w:p w14:paraId="56CD348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Chi phí hoạt động thực tế của doanh nghiệp sau khi thành lập;</w:t>
      </w:r>
    </w:p>
    <w:p w14:paraId="19654935"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Dự án kinh doanh ký kết với đối tác…</w:t>
      </w:r>
    </w:p>
    <w:p w14:paraId="5DB63D22" w14:textId="7E686C04" w:rsidR="00BE13F0" w:rsidRPr="009D2B1D" w:rsidRDefault="00FE741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Câu hỏi 5: </w:t>
      </w:r>
      <w:r w:rsidR="00BE13F0" w:rsidRPr="009D2B1D">
        <w:rPr>
          <w:rFonts w:ascii="Times New Roman" w:eastAsia="Times New Roman" w:hAnsi="Times New Roman" w:cs="Times New Roman"/>
          <w:b/>
          <w:bCs/>
          <w:color w:val="000000" w:themeColor="text1"/>
          <w:sz w:val="28"/>
          <w:szCs w:val="28"/>
        </w:rPr>
        <w:t>Vốn điều lệ tối thiểu là bao nhiêu?</w:t>
      </w:r>
    </w:p>
    <w:p w14:paraId="33543B1C"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Do pháp luật không quy định giới hạn vốn điều lệ. Do đó, trừ trường hợp kinh doanh những ngành nghề có quy định vốn pháp định và mức ký quỹ thì doanh nghiệp có thể tự do lựa chọn mức vốn điều lệ cho phù hợp.</w:t>
      </w:r>
    </w:p>
    <w:p w14:paraId="416C816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Trường hợp kinh doanh những ngành nghề có điều kiện về vốn pháp định (ví dụ như dịch vụ bảo vệ, ngân hàng, bảo hiểm,…) hoặc yêu cầu phải ký quỹ (như dịch vụ sản xuất phim, cho thuê lại lao động…) thì vốn điều lệ tối thiểu phải bằng mức vốn pháp định hay ký quỹ theo như quy định.</w:t>
      </w:r>
    </w:p>
    <w:p w14:paraId="7D359C0A" w14:textId="51DB8007" w:rsidR="00BE13F0" w:rsidRPr="009D2B1D" w:rsidRDefault="00FE7415"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lastRenderedPageBreak/>
        <w:t xml:space="preserve">Câu hỏi 6: </w:t>
      </w:r>
      <w:r w:rsidR="00BE13F0" w:rsidRPr="009D2B1D">
        <w:rPr>
          <w:rFonts w:ascii="Times New Roman" w:eastAsia="Times New Roman" w:hAnsi="Times New Roman" w:cs="Times New Roman"/>
          <w:b/>
          <w:bCs/>
          <w:color w:val="000000" w:themeColor="text1"/>
          <w:sz w:val="28"/>
          <w:szCs w:val="28"/>
        </w:rPr>
        <w:t>Vốn điều lệ tối đa là bao nhiêu?</w:t>
      </w:r>
    </w:p>
    <w:p w14:paraId="0CB0334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Như đã đề cập, pháp luật không giới hạn vốn điều lệ tối thiểu hay tối đa nên doanh nghiệp có thể tự quyết định số vốn điều lệ phù hợp.</w:t>
      </w:r>
    </w:p>
    <w:p w14:paraId="5EAB15C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Nếu quy mô kinh doanh lớn và có tiềm lực tài chính, nhà đầu tư có thể đăng ký vốn điều lệ lớn. Ngay cả khi trong quá trình doanh nghiệp đã đi vào hoạt động, chủ đầu tư vẫn góp thêm vốn để tăng mức vốn điều lệ.</w:t>
      </w:r>
    </w:p>
    <w:p w14:paraId="044F1EA4" w14:textId="519A9AFC" w:rsidR="00BE13F0" w:rsidRPr="009D2B1D" w:rsidRDefault="00D50CE0"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Câu hỏi 7: </w:t>
      </w:r>
      <w:r w:rsidR="00BE13F0" w:rsidRPr="009D2B1D">
        <w:rPr>
          <w:rFonts w:ascii="Times New Roman" w:eastAsia="Times New Roman" w:hAnsi="Times New Roman" w:cs="Times New Roman"/>
          <w:b/>
          <w:bCs/>
          <w:color w:val="000000" w:themeColor="text1"/>
          <w:sz w:val="28"/>
          <w:szCs w:val="28"/>
        </w:rPr>
        <w:t>Tài sản nào được dùng để góp vốn điều lệ?</w:t>
      </w:r>
    </w:p>
    <w:p w14:paraId="6A571C58"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Bên cạnh việc đưa ra định nghĩa </w:t>
      </w:r>
      <w:r w:rsidRPr="00D50CE0">
        <w:rPr>
          <w:rFonts w:ascii="Times New Roman" w:eastAsia="Times New Roman" w:hAnsi="Times New Roman" w:cs="Times New Roman"/>
          <w:bCs/>
          <w:color w:val="000000" w:themeColor="text1"/>
          <w:sz w:val="28"/>
          <w:szCs w:val="28"/>
        </w:rPr>
        <w:t>vốn điều lệ là gì</w:t>
      </w:r>
      <w:r w:rsidRPr="009D2B1D">
        <w:rPr>
          <w:rFonts w:ascii="Times New Roman" w:eastAsia="Times New Roman" w:hAnsi="Times New Roman" w:cs="Times New Roman"/>
          <w:color w:val="000000" w:themeColor="text1"/>
          <w:sz w:val="28"/>
          <w:szCs w:val="28"/>
        </w:rPr>
        <w:t>, Luật Doanh nghiệp năm 2020 quy định về </w:t>
      </w:r>
      <w:hyperlink r:id="rId39" w:history="1">
        <w:r w:rsidRPr="009D2B1D">
          <w:rPr>
            <w:rFonts w:ascii="Times New Roman" w:eastAsia="Times New Roman" w:hAnsi="Times New Roman" w:cs="Times New Roman"/>
            <w:color w:val="000000" w:themeColor="text1"/>
            <w:sz w:val="28"/>
            <w:szCs w:val="28"/>
          </w:rPr>
          <w:t>tài sản góp vốn</w:t>
        </w:r>
      </w:hyperlink>
      <w:r w:rsidRPr="009D2B1D">
        <w:rPr>
          <w:rFonts w:ascii="Times New Roman" w:eastAsia="Times New Roman" w:hAnsi="Times New Roman" w:cs="Times New Roman"/>
          <w:color w:val="000000" w:themeColor="text1"/>
          <w:sz w:val="28"/>
          <w:szCs w:val="28"/>
        </w:rPr>
        <w:t> tại Điều 34 như sau:</w:t>
      </w:r>
    </w:p>
    <w:p w14:paraId="2AE7409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9D2B1D">
        <w:rPr>
          <w:rFonts w:ascii="Times New Roman" w:eastAsia="Times New Roman" w:hAnsi="Times New Roman" w:cs="Times New Roman"/>
          <w:i/>
          <w:iCs/>
          <w:color w:val="000000" w:themeColor="text1"/>
          <w:sz w:val="28"/>
          <w:szCs w:val="28"/>
        </w:rPr>
        <w:t>1. Tài sản góp vốn là Đồng Việt Nam, ngoại tệ tự do chuyển đổi, vàng, quyền sử dụng đất, quyền sở hữu trí tuệ, công nghệ, bí quyết kỹ thuật, tài sản khác có thể định giá được bằng Đồng Việt Nam.</w:t>
      </w:r>
    </w:p>
    <w:p w14:paraId="04A6054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9D2B1D">
        <w:rPr>
          <w:rFonts w:ascii="Times New Roman" w:eastAsia="Times New Roman" w:hAnsi="Times New Roman" w:cs="Times New Roman"/>
          <w:i/>
          <w:iCs/>
          <w:color w:val="000000" w:themeColor="text1"/>
          <w:sz w:val="28"/>
          <w:szCs w:val="28"/>
        </w:rPr>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p w14:paraId="70242FA7"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quy định này, những tài sản dùng để góp vốn điều lệ bao gồm:</w:t>
      </w:r>
    </w:p>
    <w:p w14:paraId="37451DD8"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Đồng Việt Nam.</w:t>
      </w:r>
    </w:p>
    <w:p w14:paraId="7196AAD4"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Ngoại tệ tự do chuyển đổi.</w:t>
      </w:r>
    </w:p>
    <w:p w14:paraId="3C246C2B"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Vàng.</w:t>
      </w:r>
    </w:p>
    <w:p w14:paraId="5C568FDA"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Quyền sử dụng đất.</w:t>
      </w:r>
    </w:p>
    <w:p w14:paraId="7FD97D0D"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Quyền sở hữu trí tuệ, công nghệ, bí quyết kỹ thuật.</w:t>
      </w:r>
    </w:p>
    <w:p w14:paraId="559F5A47" w14:textId="77777777" w:rsidR="00BE13F0" w:rsidRPr="009D2B1D" w:rsidRDefault="00BE13F0" w:rsidP="004441F9">
      <w:pPr>
        <w:numPr>
          <w:ilvl w:val="0"/>
          <w:numId w:val="5"/>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Tài sản khác có thể định giá được bằng Đồng Việt Nam.</w:t>
      </w:r>
    </w:p>
    <w:p w14:paraId="5D5727B0"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Lưu ý, chỉ những tài sản thuộc quyền sở hữu hợp pháp của cá nhân, tổ chức thì cá nhân, tổ chức đó mới có quyền đem góp vốn thành lập doanh nghiệp.</w:t>
      </w:r>
    </w:p>
    <w:p w14:paraId="0829B4AA"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Cũng theo quy định tại Điều 35 Luật Doanh nghiệp 2020, thành viên công ty trách nhiệm hữu hạn, công ty hợp danh và cổ đông công ty cổ phần phải có trách nhiệm chuyển quyền sở hữu tài sản góp vốn cho công ty:</w:t>
      </w:r>
    </w:p>
    <w:p w14:paraId="4304845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Tài sản có đăng ký quyền sở hữu hoặc quyền sử dụng đất: Phải làm thủ tục chuyển quyền sở hữu tài sản hoặc quyền sử dụng đất cho công ty.</w:t>
      </w:r>
    </w:p>
    <w:p w14:paraId="1F5612B7"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Tài sản không đăng ký quyền sở hữu, việc góp vốn: Phải giao nhận tài sản góp vốn có xác nhận bằng biên bản, trừ trường hợp được thông qua tài khoản. </w:t>
      </w:r>
    </w:p>
    <w:p w14:paraId="4418BBCA" w14:textId="1D9686FB" w:rsidR="00BE13F0" w:rsidRPr="009D2B1D" w:rsidRDefault="00D50CE0"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Câu hỏi 8: </w:t>
      </w:r>
      <w:r w:rsidR="00BE13F0" w:rsidRPr="009D2B1D">
        <w:rPr>
          <w:rFonts w:ascii="Times New Roman" w:eastAsia="Times New Roman" w:hAnsi="Times New Roman" w:cs="Times New Roman"/>
          <w:b/>
          <w:bCs/>
          <w:color w:val="000000" w:themeColor="text1"/>
          <w:sz w:val="28"/>
          <w:szCs w:val="28"/>
        </w:rPr>
        <w:t>Thời hạn góp vốn điều lệ là bao lâu?</w:t>
      </w:r>
    </w:p>
    <w:p w14:paraId="03E90EE6" w14:textId="4E35FF5B"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r w:rsidR="00BE13F0" w:rsidRPr="009D2B1D">
        <w:rPr>
          <w:rFonts w:ascii="Times New Roman" w:eastAsia="Times New Roman" w:hAnsi="Times New Roman" w:cs="Times New Roman"/>
          <w:b/>
          <w:bCs/>
          <w:color w:val="000000" w:themeColor="text1"/>
          <w:sz w:val="28"/>
          <w:szCs w:val="28"/>
        </w:rPr>
        <w:t>.1 Thời hạn góp vốn công ty cổ phần</w:t>
      </w:r>
    </w:p>
    <w:p w14:paraId="1EED5138"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lastRenderedPageBreak/>
        <w:t>Khoản 1 Điều 113 Luật Doanh nghiệp 2020 quy định:</w:t>
      </w:r>
    </w:p>
    <w:p w14:paraId="115185A6"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9D2B1D">
        <w:rPr>
          <w:rFonts w:ascii="Times New Roman" w:eastAsia="Times New Roman" w:hAnsi="Times New Roman" w:cs="Times New Roman"/>
          <w:i/>
          <w:iCs/>
          <w:color w:val="000000" w:themeColor="text1"/>
          <w:sz w:val="28"/>
          <w:szCs w:val="28"/>
        </w:rPr>
        <w:t>1. Các cổ đông phải thanh toán đủ số cổ phần đã đăng ký mua trong thời hạn 90 ngày kể từ ngày được cấp Giấy chứng nhận đăng ký doanh nghiệp, trừ trường hợp Điều lệ công ty hoặc hợp đồng đăng ký mua cổ phần quy định một thời hạn khác ngắn hơn. Trường hợp cổ đông góp vốn bằng tài sản thì thời gian vận chuyển nhập khẩu, thực hiện thủ tục hành chính để chuyển quyền sở hữu tài sản đó không tính vào thời hạn góp vốn này. Hội đồng quản trị chịu trách nhiệm giám sát, đôn đốc cổ đông thanh toán đủ và đúng hạn các cổ phần đã đăng ký mua.</w:t>
      </w:r>
    </w:p>
    <w:p w14:paraId="7F80DC8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đó, thời hạn góp vốn điều lệ vào công ty cổ phần là 90 ngày kể từ ngày được cấp Giấy chứng nhận đăng ký doanh nghiệp. Trong thời hạn này, các cổ đông phải thanh toán đầy đủ số cổ phần đã đăng ký mua khi đăng ký thành lập công ty cổ phần.</w:t>
      </w:r>
    </w:p>
    <w:p w14:paraId="0D996C8F"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Nếu hết thời hạn 90 ngày mà các cổ đông không thanh toán đủ số cổ phần đã đăng ký thì công ty cổ phần phải đăng ký điều chỉnh vốn điều lệ bằng mệnh giá số cổ phần đã thanh toán trong thời hạn 30 ngày.</w:t>
      </w:r>
    </w:p>
    <w:p w14:paraId="51E655EE" w14:textId="6707216F"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r w:rsidR="00BE13F0" w:rsidRPr="009D2B1D">
        <w:rPr>
          <w:rFonts w:ascii="Times New Roman" w:eastAsia="Times New Roman" w:hAnsi="Times New Roman" w:cs="Times New Roman"/>
          <w:b/>
          <w:bCs/>
          <w:color w:val="000000" w:themeColor="text1"/>
          <w:sz w:val="28"/>
          <w:szCs w:val="28"/>
        </w:rPr>
        <w:t>.2 Thời hạn góp vốn công ty TNHH 1 thành viên</w:t>
      </w:r>
    </w:p>
    <w:p w14:paraId="0C7B7D35"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khoản 2 Điều 75 Luật Doanh nghiệp 2020, chủ sở hữu công ty trách nhiệm hữu hạn (TNHH) một thành viên có thời hạn 90 ngày kể từ ngày được cấp Giấy chứng nhận đăng ký doanh nghiệp để góp vốn đầy đủ và đúng loại tài sản đã cam kết khi đăng ký thành lập.</w:t>
      </w:r>
    </w:p>
    <w:p w14:paraId="787F0363"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Trong thời hạn góp vốn, chủ sở hữu công ty có các quyền và nghĩa vụ tương ứng với phần vốn góp đã cam kết.</w:t>
      </w:r>
    </w:p>
    <w:p w14:paraId="3BB1E274"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Nếu không góp vốn điều lệ trong thời hạn 90 ngày nói trên, chủ sở hữu công ty phải đăng ký thay đổi vốn điều lệ trong thời hạn 30 ngày kể từ ngày cuối cùng phải góp đủ vốn điều lệ. Trường hợp này, chủ sở hữu vẫn chịu trách nhiệm đối với các nghĩa vụ tài chính của công ty phát sinh trong thời hạn thay đổi vốn điều lệ, tương ứng với phần vốn góp đã cam kết.</w:t>
      </w:r>
    </w:p>
    <w:p w14:paraId="32494ECA" w14:textId="1FA229D7"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r w:rsidR="00BE13F0" w:rsidRPr="009D2B1D">
        <w:rPr>
          <w:rFonts w:ascii="Times New Roman" w:eastAsia="Times New Roman" w:hAnsi="Times New Roman" w:cs="Times New Roman"/>
          <w:b/>
          <w:bCs/>
          <w:color w:val="000000" w:themeColor="text1"/>
          <w:sz w:val="28"/>
          <w:szCs w:val="28"/>
        </w:rPr>
        <w:t>.3 Thời hạn góp vốn công ty TNHH từ 2 thành viên</w:t>
      </w:r>
    </w:p>
    <w:p w14:paraId="41605C45"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Khoản 2 Điều 47 Luật Doanh nghiệp 2020 nêu rõ:</w:t>
      </w:r>
    </w:p>
    <w:p w14:paraId="28C0A87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9D2B1D">
        <w:rPr>
          <w:rFonts w:ascii="Times New Roman" w:eastAsia="Times New Roman" w:hAnsi="Times New Roman" w:cs="Times New Roman"/>
          <w:i/>
          <w:iCs/>
          <w:color w:val="000000" w:themeColor="text1"/>
          <w:sz w:val="28"/>
          <w:szCs w:val="28"/>
        </w:rPr>
        <w:t xml:space="preserve">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w:t>
      </w:r>
      <w:r w:rsidRPr="009D2B1D">
        <w:rPr>
          <w:rFonts w:ascii="Times New Roman" w:eastAsia="Times New Roman" w:hAnsi="Times New Roman" w:cs="Times New Roman"/>
          <w:i/>
          <w:iCs/>
          <w:color w:val="000000" w:themeColor="text1"/>
          <w:sz w:val="28"/>
          <w:szCs w:val="28"/>
        </w:rPr>
        <w:lastRenderedPageBreak/>
        <w:t>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14:paraId="020AEE0A"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đó, các thành viên của công ty TNHH 2 thành viên có thời hạn 90 ngày kể từ ngày công ty được cấp Giấy chứng nhận đăng ký doanh nghiệp để góp đủ vốn và đúng loại tài sản đã cam kết.</w:t>
      </w:r>
    </w:p>
    <w:p w14:paraId="785ABA30"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Nếu các thành viên chưa góp hoặc chưa góp đủ số vốn đã cam kết, công ty phải đăng ký thay đổi vốn điều lệ trong vòng 30 ngày kể từ ngày cuối cùng của thời hạn góp vốn.</w:t>
      </w:r>
    </w:p>
    <w:p w14:paraId="4BA5CB5C" w14:textId="4EE18847"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r w:rsidR="00BE13F0" w:rsidRPr="009D2B1D">
        <w:rPr>
          <w:rFonts w:ascii="Times New Roman" w:eastAsia="Times New Roman" w:hAnsi="Times New Roman" w:cs="Times New Roman"/>
          <w:b/>
          <w:bCs/>
          <w:color w:val="000000" w:themeColor="text1"/>
          <w:sz w:val="28"/>
          <w:szCs w:val="28"/>
        </w:rPr>
        <w:t>.3 Thời hạn góp vốn công ty hợp danh</w:t>
      </w:r>
    </w:p>
    <w:p w14:paraId="32776602"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Hiện nay, Luật Doanh nghiệp 2020 không quy định cụ thể về thời hạn góp vốn vào công ty hợp danh. Thay vào đó, khoản 1 Điều 178 Luật Doanh nghiệp 2020 chỉ quy định:</w:t>
      </w:r>
    </w:p>
    <w:p w14:paraId="29912F8C"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i/>
          <w:iCs/>
          <w:color w:val="000000" w:themeColor="text1"/>
          <w:sz w:val="28"/>
          <w:szCs w:val="28"/>
        </w:rPr>
      </w:pPr>
      <w:r w:rsidRPr="009D2B1D">
        <w:rPr>
          <w:rFonts w:ascii="Times New Roman" w:eastAsia="Times New Roman" w:hAnsi="Times New Roman" w:cs="Times New Roman"/>
          <w:i/>
          <w:iCs/>
          <w:color w:val="000000" w:themeColor="text1"/>
          <w:sz w:val="28"/>
          <w:szCs w:val="28"/>
        </w:rPr>
        <w:t>1. Thành viên hợp danh và thành viên góp vốn phải góp đủ và đúng hạn số vốn đã cam kết.</w:t>
      </w:r>
    </w:p>
    <w:p w14:paraId="41D9D903"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Như vậy, thời hạn góp vốn điều lệ công ty hợp danh phải được đảm bảo thực hiện đúng như thời hạn mà các thành viên đã cam kết.</w:t>
      </w:r>
    </w:p>
    <w:p w14:paraId="5D67290C"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Thành viên hợp danh không góp đủ và đúng hạn số vốn đã cam kết mà gây thiệt hại cho công ty thì phải chịu trách nhiệm bồi thường thiệt hại.</w:t>
      </w:r>
    </w:p>
    <w:p w14:paraId="599E8CD8"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Cùng với đó, nếu thành viên góp vốn không góp đủ và đúng hạn số vốn đã cam kết thì số vốn chưa góp đủ sẽ bị coi là khoản nợ của thành viên đó đối với công ty</w:t>
      </w:r>
    </w:p>
    <w:p w14:paraId="328E325B" w14:textId="58B9FDE2"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r w:rsidR="00BE13F0" w:rsidRPr="009D2B1D">
        <w:rPr>
          <w:rFonts w:ascii="Times New Roman" w:eastAsia="Times New Roman" w:hAnsi="Times New Roman" w:cs="Times New Roman"/>
          <w:b/>
          <w:bCs/>
          <w:color w:val="000000" w:themeColor="text1"/>
          <w:sz w:val="28"/>
          <w:szCs w:val="28"/>
        </w:rPr>
        <w:t>.4. Thời hạn góp vốn doanh nghiệp tư nhân</w:t>
      </w:r>
    </w:p>
    <w:p w14:paraId="142E9884"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khoản 1 Điều 188 Luật Doanh nghiệp năm 2020, doanh nghiệp tư nhân do một cá nhân làm chủ và tự chịu trách nhiệm bằng toàn bộ tài sản của mình về mọi hoạt động của doanh nghiệp.</w:t>
      </w:r>
    </w:p>
    <w:p w14:paraId="5A9DB00E"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Do đó, chủ doanh nghiệp tư nhân sẽ không cần chịu thực hiện việc chuyển quyền sỏ hữu vốn góp cho doanh nghiệp tư nhân.</w:t>
      </w:r>
    </w:p>
    <w:p w14:paraId="6E77FA73"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Điều 189 Luật Doanh nghiệp 2020, vốn đầu tư của chủ doanh nghiệp tư nhân do chủ doanh nghiệp tự đăng ký. Toàn bộ vốn và tài sản được sử dụng vào hoạt động kinh doanh của doanh nghiệp phải được ghi chép đầy đủ vào sổ kế toán và báo cáo tài chính của doanh nghiệp.</w:t>
      </w:r>
    </w:p>
    <w:p w14:paraId="46AF93A0" w14:textId="6CA419E7" w:rsidR="00BE13F0" w:rsidRPr="009D2B1D" w:rsidRDefault="00D50CE0" w:rsidP="004441F9">
      <w:pPr>
        <w:shd w:val="clear" w:color="auto" w:fill="FFFFFF"/>
        <w:spacing w:after="0" w:line="288" w:lineRule="auto"/>
        <w:ind w:firstLine="576"/>
        <w:jc w:val="both"/>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Câu hỏi 9: </w:t>
      </w:r>
      <w:r w:rsidR="00BE13F0" w:rsidRPr="009D2B1D">
        <w:rPr>
          <w:rFonts w:ascii="Times New Roman" w:eastAsia="Times New Roman" w:hAnsi="Times New Roman" w:cs="Times New Roman"/>
          <w:b/>
          <w:bCs/>
          <w:color w:val="000000" w:themeColor="text1"/>
          <w:sz w:val="28"/>
          <w:szCs w:val="28"/>
        </w:rPr>
        <w:t>Trường hợp cổ đông, thành viên không góp đủ vốn thì xử lý thế nào? </w:t>
      </w:r>
    </w:p>
    <w:p w14:paraId="58BF31E6" w14:textId="77777777" w:rsidR="00BE13F0" w:rsidRPr="009D2B1D" w:rsidRDefault="00BE13F0" w:rsidP="004441F9">
      <w:pPr>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shd w:val="clear" w:color="auto" w:fill="FFFFFF"/>
        </w:rPr>
        <w:lastRenderedPageBreak/>
        <w:t>Việc nắm được khái niệm </w:t>
      </w:r>
      <w:r w:rsidRPr="00D50CE0">
        <w:rPr>
          <w:rFonts w:ascii="Times New Roman" w:eastAsia="Times New Roman" w:hAnsi="Times New Roman" w:cs="Times New Roman"/>
          <w:bCs/>
          <w:color w:val="000000" w:themeColor="text1"/>
          <w:sz w:val="28"/>
          <w:szCs w:val="28"/>
          <w:shd w:val="clear" w:color="auto" w:fill="FFFFFF"/>
        </w:rPr>
        <w:t>vốn điều lệ là gì</w:t>
      </w:r>
      <w:r w:rsidRPr="009D2B1D">
        <w:rPr>
          <w:rFonts w:ascii="Times New Roman" w:eastAsia="Times New Roman" w:hAnsi="Times New Roman" w:cs="Times New Roman"/>
          <w:color w:val="000000" w:themeColor="text1"/>
          <w:sz w:val="28"/>
          <w:szCs w:val="28"/>
          <w:shd w:val="clear" w:color="auto" w:fill="FFFFFF"/>
        </w:rPr>
        <w:t>, thời hạn góp vốn điều lệ là chưa đủ để có thể đăng ký thành lập và vận hành doanh nghiệp một các hiệu quả. Nhà đầu tư cũng cần nắm được cách giải quyết khi cổ đông, thành viên công ty không góp đủ vốn:</w:t>
      </w:r>
    </w:p>
    <w:p w14:paraId="39EA170D" w14:textId="27693AA6"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9</w:t>
      </w:r>
      <w:r w:rsidR="00BE13F0" w:rsidRPr="009D2B1D">
        <w:rPr>
          <w:rFonts w:ascii="Times New Roman" w:eastAsia="Times New Roman" w:hAnsi="Times New Roman" w:cs="Times New Roman"/>
          <w:b/>
          <w:bCs/>
          <w:color w:val="000000" w:themeColor="text1"/>
          <w:sz w:val="28"/>
          <w:szCs w:val="28"/>
        </w:rPr>
        <w:t>.1. Đối với công ty cổ phần</w:t>
      </w:r>
    </w:p>
    <w:p w14:paraId="6483270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Căn cứ khoản 3 Điều 113 Luật Doanh nghiệp 2020, nếu cổ đông chưa thanh toán hoặc chỉ thanh toán được một phần số cổ phần đã đăng ký mua thì giải quyết như sau:</w:t>
      </w:r>
    </w:p>
    <w:p w14:paraId="167D71E4"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Cổ đông chưa thanh toán số cổ phần đã đăng ký đương nhiên không còn là cổ đông của công ty, đồng thời không được chuyển nhượng quyền mua cho người khác.</w:t>
      </w:r>
    </w:p>
    <w:p w14:paraId="658707B3"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Cổ đông mới thanh toán một phần số cổ phần đã đăng ký có quyền biểu quyết, nhận lợi tức và các quyền khác tương ứng với cổ phần đã thanh toán; không được chuyển nhượng quyền mua cổ phần chưa thanh toán cho người khác.</w:t>
      </w:r>
    </w:p>
    <w:p w14:paraId="083F4FFF"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Cổ phần chưa thanh toán bị coi là cổ phần chưa bán và Hội đồng quản trị được quyền bán.</w:t>
      </w:r>
    </w:p>
    <w:p w14:paraId="7FECA7AC" w14:textId="7541623C"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9</w:t>
      </w:r>
      <w:r w:rsidR="00BE13F0" w:rsidRPr="009D2B1D">
        <w:rPr>
          <w:rFonts w:ascii="Times New Roman" w:eastAsia="Times New Roman" w:hAnsi="Times New Roman" w:cs="Times New Roman"/>
          <w:b/>
          <w:bCs/>
          <w:color w:val="000000" w:themeColor="text1"/>
          <w:sz w:val="28"/>
          <w:szCs w:val="28"/>
        </w:rPr>
        <w:t>.2. Đối với công ty TNHH 1 thành viên</w:t>
      </w:r>
    </w:p>
    <w:p w14:paraId="34E980F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khoản 3 Điều 75 Luật Doanh nghiệp năm 2020, chủ sở hữu công ty không góp đủ vốn điều lệ trong thời hạn quy định thì phải giảm vốn điều lệ trong thời hạn 30 ngày.</w:t>
      </w:r>
    </w:p>
    <w:p w14:paraId="7D05A44C"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Trong thời gian 30 ngày này, chủ sở hữu công ty vẫn phải chịu trách nhiệm với các nghĩa vụ tài chính phát sinh tương ứng với phần vốn góp đã cam kết.</w:t>
      </w:r>
    </w:p>
    <w:p w14:paraId="5C7D01A0"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14:paraId="42B44771" w14:textId="2A487FEB"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9</w:t>
      </w:r>
      <w:r w:rsidR="00BE13F0" w:rsidRPr="009D2B1D">
        <w:rPr>
          <w:rFonts w:ascii="Times New Roman" w:eastAsia="Times New Roman" w:hAnsi="Times New Roman" w:cs="Times New Roman"/>
          <w:b/>
          <w:bCs/>
          <w:color w:val="000000" w:themeColor="text1"/>
          <w:sz w:val="28"/>
          <w:szCs w:val="28"/>
        </w:rPr>
        <w:t>.3. Đối với công ty TNHH từ 2 thành viên</w:t>
      </w:r>
    </w:p>
    <w:p w14:paraId="19259E9B"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khoản 3 Điều 47 Luật Doanh nghiệp năm 2020, nếu thành viên công ty không góp hoặc có nhưng chưa đủ phần vốn góp đã cam kết thì sẽ xử lý như sau:</w:t>
      </w:r>
    </w:p>
    <w:p w14:paraId="5342710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Thành viên không góp vốn theo cam kết đương nhiên không còn là thành viên của công ty.</w:t>
      </w:r>
    </w:p>
    <w:p w14:paraId="36F6254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Thành viên chưa góp đủ phần vốn đã cam kết có các quyền tương ứng với phần vốn góp đã góp.</w:t>
      </w:r>
    </w:p>
    <w:p w14:paraId="1C000C0D"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 Phần vốn chưa góp của các thành viên được chào bán theo nghị quyết, quyết định của Hội đồng thành viên công ty TNHH từ 02 thành viên trở lên.</w:t>
      </w:r>
    </w:p>
    <w:p w14:paraId="48DB159B" w14:textId="17C86CE7"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lastRenderedPageBreak/>
        <w:t>9</w:t>
      </w:r>
      <w:r w:rsidR="00BE13F0" w:rsidRPr="009D2B1D">
        <w:rPr>
          <w:rFonts w:ascii="Times New Roman" w:eastAsia="Times New Roman" w:hAnsi="Times New Roman" w:cs="Times New Roman"/>
          <w:b/>
          <w:bCs/>
          <w:color w:val="000000" w:themeColor="text1"/>
          <w:sz w:val="28"/>
          <w:szCs w:val="28"/>
        </w:rPr>
        <w:t>.4. Đối với công ty hợp danh</w:t>
      </w:r>
    </w:p>
    <w:p w14:paraId="17D8AEB5" w14:textId="6885E37C"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Điều 178 Luật Doanh nghiệp 202</w:t>
      </w:r>
      <w:r w:rsidR="00064DD3">
        <w:rPr>
          <w:rFonts w:ascii="Times New Roman" w:eastAsia="Times New Roman" w:hAnsi="Times New Roman" w:cs="Times New Roman"/>
          <w:color w:val="000000" w:themeColor="text1"/>
          <w:sz w:val="28"/>
          <w:szCs w:val="28"/>
        </w:rPr>
        <w:t>0</w:t>
      </w:r>
      <w:r w:rsidRPr="009D2B1D">
        <w:rPr>
          <w:rFonts w:ascii="Times New Roman" w:eastAsia="Times New Roman" w:hAnsi="Times New Roman" w:cs="Times New Roman"/>
          <w:color w:val="000000" w:themeColor="text1"/>
          <w:sz w:val="28"/>
          <w:szCs w:val="28"/>
        </w:rPr>
        <w:t>, thành viên hợp danh và thành viên góp vốn đều buộc phải góp đủ vốn đã cam kết.</w:t>
      </w:r>
    </w:p>
    <w:p w14:paraId="6EB30F99"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Thành viên hợp danh nếu không góp đủ và đúng hạn mà gây thiệt hại cho công ty thì người đó phải chịu trách nhiệm bồi thường.</w:t>
      </w:r>
    </w:p>
    <w:p w14:paraId="666A431C"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Còn thành viên góp vốn nếu không góp đủ số vốn đã cam kết thì số vốn chưa góp đủ được coi là khoản nợ của thành viên đó đối với công ty. </w:t>
      </w:r>
    </w:p>
    <w:p w14:paraId="77C3811E" w14:textId="1136ABE0"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Câu hỏi 10: </w:t>
      </w:r>
      <w:r w:rsidR="00BE13F0" w:rsidRPr="009D2B1D">
        <w:rPr>
          <w:rFonts w:ascii="Times New Roman" w:eastAsia="Times New Roman" w:hAnsi="Times New Roman" w:cs="Times New Roman"/>
          <w:b/>
          <w:bCs/>
          <w:color w:val="000000" w:themeColor="text1"/>
          <w:sz w:val="28"/>
          <w:szCs w:val="28"/>
        </w:rPr>
        <w:t>Kê khai khống vốn điều lệ bị phạt ra sao?</w:t>
      </w:r>
    </w:p>
    <w:p w14:paraId="223D5BE1"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Theo </w:t>
      </w:r>
      <w:hyperlink r:id="rId40" w:history="1">
        <w:r w:rsidRPr="009D2B1D">
          <w:rPr>
            <w:rFonts w:ascii="Times New Roman" w:eastAsia="Times New Roman" w:hAnsi="Times New Roman" w:cs="Times New Roman"/>
            <w:color w:val="000000" w:themeColor="text1"/>
            <w:sz w:val="28"/>
            <w:szCs w:val="28"/>
          </w:rPr>
          <w:t>Điều 47 Nghị định 122/2021/NĐ-CP</w:t>
        </w:r>
      </w:hyperlink>
      <w:r w:rsidRPr="009D2B1D">
        <w:rPr>
          <w:rFonts w:ascii="Times New Roman" w:eastAsia="Times New Roman" w:hAnsi="Times New Roman" w:cs="Times New Roman"/>
          <w:color w:val="000000" w:themeColor="text1"/>
          <w:sz w:val="28"/>
          <w:szCs w:val="28"/>
        </w:rPr>
        <w:t>, hành vi khai khống vốn điều lệ sẽ bị phạt rất nặng. Cụ thể như sau:</w:t>
      </w:r>
    </w:p>
    <w:p w14:paraId="26FA8382" w14:textId="77777777" w:rsidR="00BE13F0" w:rsidRPr="009D2B1D" w:rsidRDefault="00BE13F0" w:rsidP="004441F9">
      <w:pPr>
        <w:numPr>
          <w:ilvl w:val="0"/>
          <w:numId w:val="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Kê khai khống vốn điều lệ có giá trị dưới 10 tỷ đồng: Phạt 20 - 30 triệu đồng.</w:t>
      </w:r>
    </w:p>
    <w:p w14:paraId="7393D19D" w14:textId="77777777" w:rsidR="00BE13F0" w:rsidRPr="009D2B1D" w:rsidRDefault="00BE13F0" w:rsidP="004441F9">
      <w:pPr>
        <w:numPr>
          <w:ilvl w:val="0"/>
          <w:numId w:val="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Kê khai khống vốn điều lệ có giá trị từ 10 tỷ đồng đến dưới 20 tỷ đồng: Phạt 30 - 40 triệu đồng.</w:t>
      </w:r>
    </w:p>
    <w:p w14:paraId="08DD6781" w14:textId="77777777" w:rsidR="00BE13F0" w:rsidRPr="009D2B1D" w:rsidRDefault="00BE13F0" w:rsidP="004441F9">
      <w:pPr>
        <w:numPr>
          <w:ilvl w:val="0"/>
          <w:numId w:val="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Kê khai khống vốn điều lệ có giá trị từ 20 tỷ đồng đến dưới 50 tỷ đồng: Phạt 40 - 60 triệu đồng.</w:t>
      </w:r>
    </w:p>
    <w:p w14:paraId="30D86FE5" w14:textId="77777777" w:rsidR="00BE13F0" w:rsidRPr="009D2B1D" w:rsidRDefault="00BE13F0" w:rsidP="004441F9">
      <w:pPr>
        <w:numPr>
          <w:ilvl w:val="0"/>
          <w:numId w:val="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Kê khai khống vốn điều lệ có giá trị từ 50 tỷ đồng đến dưới 100 tỷ đồng: Phạt 60 - 80 triệu đồng.</w:t>
      </w:r>
    </w:p>
    <w:p w14:paraId="7A496839" w14:textId="77777777" w:rsidR="00BE13F0" w:rsidRPr="009D2B1D" w:rsidRDefault="00BE13F0" w:rsidP="004441F9">
      <w:pPr>
        <w:numPr>
          <w:ilvl w:val="0"/>
          <w:numId w:val="6"/>
        </w:numPr>
        <w:shd w:val="clear" w:color="auto" w:fill="FFFFFF"/>
        <w:spacing w:after="0" w:line="288" w:lineRule="auto"/>
        <w:ind w:left="0"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Kê khai khống vốn điều lệ có giá trị từ 100 tỷ đồng trở lên: Phạt 80 - 100 triệu đồng.</w:t>
      </w:r>
    </w:p>
    <w:p w14:paraId="6D305036" w14:textId="78650A44" w:rsidR="00BE13F0" w:rsidRPr="009D2B1D" w:rsidRDefault="00D50CE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Câu hỏi 11: </w:t>
      </w:r>
      <w:r w:rsidR="00BE13F0" w:rsidRPr="009D2B1D">
        <w:rPr>
          <w:rFonts w:ascii="Times New Roman" w:eastAsia="Times New Roman" w:hAnsi="Times New Roman" w:cs="Times New Roman"/>
          <w:b/>
          <w:bCs/>
          <w:color w:val="000000" w:themeColor="text1"/>
          <w:sz w:val="28"/>
          <w:szCs w:val="28"/>
        </w:rPr>
        <w:t>Nên đăng ký vốn điều lệ cao hay thấp?</w:t>
      </w:r>
    </w:p>
    <w:p w14:paraId="71820B0B"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Trừ khi kinh doanh các các ngành, nghề yêu cầu mức vốn tối thiểu, còn lại doanh nghiệp được tùy chọn mức vốn điều lệ. Mức vốn điều lệ này không ảnh hưởng nhiều tới hoạt động kinh doanh của doanh nghiệp nhưng có ảnh hưởng trực tiếp tới mức lệ phí môn bài doanh nghiệp phải đóng.</w:t>
      </w:r>
    </w:p>
    <w:p w14:paraId="24EEA6B3"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Tùy vào quy mô kinh doanh mà doanh nghiệp cần đăng ký cho mình mức vốn điều lệ phù hợp nhưng cũng cần tính đến khoản lệ phí môn bài phải nộp hằng năm.</w:t>
      </w:r>
    </w:p>
    <w:p w14:paraId="727DE4AF" w14:textId="77777777" w:rsidR="00BE13F0" w:rsidRPr="009D2B1D" w:rsidRDefault="00BE13F0" w:rsidP="004441F9">
      <w:pPr>
        <w:shd w:val="clear" w:color="auto" w:fill="FFFFFF"/>
        <w:spacing w:after="0" w:line="288" w:lineRule="auto"/>
        <w:ind w:firstLine="576"/>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Cụ thể theo </w:t>
      </w:r>
      <w:hyperlink r:id="rId41" w:history="1">
        <w:r w:rsidRPr="009D2B1D">
          <w:rPr>
            <w:rFonts w:ascii="Times New Roman" w:eastAsia="Times New Roman" w:hAnsi="Times New Roman" w:cs="Times New Roman"/>
            <w:color w:val="000000" w:themeColor="text1"/>
            <w:sz w:val="28"/>
            <w:szCs w:val="28"/>
          </w:rPr>
          <w:t>Điều 4 Nghị định 139/2016/NĐ-CP</w:t>
        </w:r>
      </w:hyperlink>
      <w:r w:rsidRPr="009D2B1D">
        <w:rPr>
          <w:rFonts w:ascii="Times New Roman" w:eastAsia="Times New Roman" w:hAnsi="Times New Roman" w:cs="Times New Roman"/>
          <w:color w:val="000000" w:themeColor="text1"/>
          <w:sz w:val="28"/>
          <w:szCs w:val="28"/>
        </w:rPr>
        <w:t>, mức thu lệ phí môn bài như sau:</w:t>
      </w:r>
    </w:p>
    <w:tbl>
      <w:tblPr>
        <w:tblW w:w="891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
        <w:gridCol w:w="6104"/>
        <w:gridCol w:w="2247"/>
      </w:tblGrid>
      <w:tr w:rsidR="00021A86" w:rsidRPr="009D2B1D" w14:paraId="16713E80" w14:textId="77777777" w:rsidTr="00401E3C">
        <w:trPr>
          <w:trHeight w:val="376"/>
        </w:trPr>
        <w:tc>
          <w:tcPr>
            <w:tcW w:w="540" w:type="dxa"/>
            <w:shd w:val="clear" w:color="auto" w:fill="F7CAAC"/>
            <w:tcMar>
              <w:top w:w="0" w:type="dxa"/>
              <w:left w:w="108" w:type="dxa"/>
              <w:bottom w:w="0" w:type="dxa"/>
              <w:right w:w="108" w:type="dxa"/>
            </w:tcMar>
            <w:vAlign w:val="center"/>
            <w:hideMark/>
          </w:tcPr>
          <w:p w14:paraId="62BB0E99"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b/>
                <w:bCs/>
                <w:color w:val="000000" w:themeColor="text1"/>
                <w:sz w:val="28"/>
                <w:szCs w:val="28"/>
              </w:rPr>
              <w:t>Stt</w:t>
            </w:r>
          </w:p>
        </w:tc>
        <w:tc>
          <w:tcPr>
            <w:tcW w:w="6120" w:type="dxa"/>
            <w:shd w:val="clear" w:color="auto" w:fill="F7CAAC"/>
            <w:tcMar>
              <w:top w:w="0" w:type="dxa"/>
              <w:left w:w="108" w:type="dxa"/>
              <w:bottom w:w="0" w:type="dxa"/>
              <w:right w:w="108" w:type="dxa"/>
            </w:tcMar>
            <w:vAlign w:val="center"/>
            <w:hideMark/>
          </w:tcPr>
          <w:p w14:paraId="3D2BFBB1"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b/>
                <w:bCs/>
                <w:color w:val="000000" w:themeColor="text1"/>
                <w:sz w:val="28"/>
                <w:szCs w:val="28"/>
              </w:rPr>
              <w:t>Vốn điều lệ hoặc vốn đầu tư</w:t>
            </w:r>
          </w:p>
        </w:tc>
        <w:tc>
          <w:tcPr>
            <w:tcW w:w="2250" w:type="dxa"/>
            <w:shd w:val="clear" w:color="auto" w:fill="F7CAAC"/>
            <w:tcMar>
              <w:top w:w="0" w:type="dxa"/>
              <w:left w:w="108" w:type="dxa"/>
              <w:bottom w:w="0" w:type="dxa"/>
              <w:right w:w="108" w:type="dxa"/>
            </w:tcMar>
            <w:vAlign w:val="center"/>
            <w:hideMark/>
          </w:tcPr>
          <w:p w14:paraId="5B6395A8"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b/>
                <w:bCs/>
                <w:color w:val="000000" w:themeColor="text1"/>
                <w:sz w:val="28"/>
                <w:szCs w:val="28"/>
              </w:rPr>
              <w:t>Lệ phí môn bài phải nộp</w:t>
            </w:r>
          </w:p>
        </w:tc>
      </w:tr>
      <w:tr w:rsidR="00021A86" w:rsidRPr="009D2B1D" w14:paraId="1EDEA632" w14:textId="77777777" w:rsidTr="00401E3C">
        <w:tc>
          <w:tcPr>
            <w:tcW w:w="540" w:type="dxa"/>
            <w:tcMar>
              <w:top w:w="0" w:type="dxa"/>
              <w:left w:w="108" w:type="dxa"/>
              <w:bottom w:w="0" w:type="dxa"/>
              <w:right w:w="108" w:type="dxa"/>
            </w:tcMar>
            <w:vAlign w:val="center"/>
            <w:hideMark/>
          </w:tcPr>
          <w:p w14:paraId="117780A1" w14:textId="77777777" w:rsidR="00BE13F0" w:rsidRPr="00401E3C"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401E3C">
              <w:rPr>
                <w:rFonts w:ascii="Times New Roman" w:eastAsia="Times New Roman" w:hAnsi="Times New Roman" w:cs="Times New Roman"/>
                <w:bCs/>
                <w:color w:val="000000" w:themeColor="text1"/>
                <w:sz w:val="28"/>
                <w:szCs w:val="28"/>
              </w:rPr>
              <w:t>1</w:t>
            </w:r>
          </w:p>
        </w:tc>
        <w:tc>
          <w:tcPr>
            <w:tcW w:w="6120" w:type="dxa"/>
            <w:tcMar>
              <w:top w:w="0" w:type="dxa"/>
              <w:left w:w="108" w:type="dxa"/>
              <w:bottom w:w="0" w:type="dxa"/>
              <w:right w:w="108" w:type="dxa"/>
            </w:tcMar>
            <w:vAlign w:val="center"/>
            <w:hideMark/>
          </w:tcPr>
          <w:p w14:paraId="308E68F2"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Tổ chức có vốn điều lệ hoặc vốn đầu tư &gt; 10 tỷ đồng</w:t>
            </w:r>
          </w:p>
        </w:tc>
        <w:tc>
          <w:tcPr>
            <w:tcW w:w="2250" w:type="dxa"/>
            <w:tcMar>
              <w:top w:w="0" w:type="dxa"/>
              <w:left w:w="108" w:type="dxa"/>
              <w:bottom w:w="0" w:type="dxa"/>
              <w:right w:w="108" w:type="dxa"/>
            </w:tcMar>
            <w:vAlign w:val="center"/>
            <w:hideMark/>
          </w:tcPr>
          <w:p w14:paraId="625CD830"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03 triệu đồng/năm</w:t>
            </w:r>
          </w:p>
        </w:tc>
      </w:tr>
      <w:tr w:rsidR="00021A86" w:rsidRPr="009D2B1D" w14:paraId="1FF7169E" w14:textId="77777777" w:rsidTr="00401E3C">
        <w:tc>
          <w:tcPr>
            <w:tcW w:w="540" w:type="dxa"/>
            <w:tcMar>
              <w:top w:w="0" w:type="dxa"/>
              <w:left w:w="108" w:type="dxa"/>
              <w:bottom w:w="0" w:type="dxa"/>
              <w:right w:w="108" w:type="dxa"/>
            </w:tcMar>
            <w:vAlign w:val="center"/>
            <w:hideMark/>
          </w:tcPr>
          <w:p w14:paraId="5E9A9033" w14:textId="77777777" w:rsidR="00BE13F0" w:rsidRPr="00401E3C"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401E3C">
              <w:rPr>
                <w:rFonts w:ascii="Times New Roman" w:eastAsia="Times New Roman" w:hAnsi="Times New Roman" w:cs="Times New Roman"/>
                <w:bCs/>
                <w:color w:val="000000" w:themeColor="text1"/>
                <w:sz w:val="28"/>
                <w:szCs w:val="28"/>
              </w:rPr>
              <w:lastRenderedPageBreak/>
              <w:t>2</w:t>
            </w:r>
          </w:p>
        </w:tc>
        <w:tc>
          <w:tcPr>
            <w:tcW w:w="6120" w:type="dxa"/>
            <w:tcMar>
              <w:top w:w="0" w:type="dxa"/>
              <w:left w:w="108" w:type="dxa"/>
              <w:bottom w:w="0" w:type="dxa"/>
              <w:right w:w="108" w:type="dxa"/>
            </w:tcMar>
            <w:vAlign w:val="center"/>
            <w:hideMark/>
          </w:tcPr>
          <w:p w14:paraId="6A9ACBAB"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Tổ chức có vốn điều lệ hoặc vốn đầu tư ≤ 10 tỷ đồng</w:t>
            </w:r>
          </w:p>
        </w:tc>
        <w:tc>
          <w:tcPr>
            <w:tcW w:w="2250" w:type="dxa"/>
            <w:tcMar>
              <w:top w:w="0" w:type="dxa"/>
              <w:left w:w="108" w:type="dxa"/>
              <w:bottom w:w="0" w:type="dxa"/>
              <w:right w:w="108" w:type="dxa"/>
            </w:tcMar>
            <w:vAlign w:val="center"/>
            <w:hideMark/>
          </w:tcPr>
          <w:p w14:paraId="4F84427A"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02 triệu đồng/năm</w:t>
            </w:r>
          </w:p>
        </w:tc>
      </w:tr>
      <w:tr w:rsidR="00021A86" w:rsidRPr="009D2B1D" w14:paraId="2C8889DE" w14:textId="77777777" w:rsidTr="00401E3C">
        <w:tc>
          <w:tcPr>
            <w:tcW w:w="540" w:type="dxa"/>
            <w:tcMar>
              <w:top w:w="0" w:type="dxa"/>
              <w:left w:w="108" w:type="dxa"/>
              <w:bottom w:w="0" w:type="dxa"/>
              <w:right w:w="108" w:type="dxa"/>
            </w:tcMar>
            <w:vAlign w:val="center"/>
            <w:hideMark/>
          </w:tcPr>
          <w:p w14:paraId="652B6C22" w14:textId="77777777" w:rsidR="00BE13F0" w:rsidRPr="00401E3C"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401E3C">
              <w:rPr>
                <w:rFonts w:ascii="Times New Roman" w:eastAsia="Times New Roman" w:hAnsi="Times New Roman" w:cs="Times New Roman"/>
                <w:bCs/>
                <w:color w:val="000000" w:themeColor="text1"/>
                <w:sz w:val="28"/>
                <w:szCs w:val="28"/>
              </w:rPr>
              <w:t>3</w:t>
            </w:r>
          </w:p>
        </w:tc>
        <w:tc>
          <w:tcPr>
            <w:tcW w:w="6120" w:type="dxa"/>
            <w:tcMar>
              <w:top w:w="0" w:type="dxa"/>
              <w:left w:w="108" w:type="dxa"/>
              <w:bottom w:w="0" w:type="dxa"/>
              <w:right w:w="108" w:type="dxa"/>
            </w:tcMar>
            <w:vAlign w:val="center"/>
            <w:hideMark/>
          </w:tcPr>
          <w:p w14:paraId="4DE05228"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Chi nhánh, văn phòng đại diện, địa điểm kinh doanh, đơn vị sự nghiệp, tổ chức kinh tế khác</w:t>
            </w:r>
          </w:p>
        </w:tc>
        <w:tc>
          <w:tcPr>
            <w:tcW w:w="2250" w:type="dxa"/>
            <w:tcMar>
              <w:top w:w="0" w:type="dxa"/>
              <w:left w:w="108" w:type="dxa"/>
              <w:bottom w:w="0" w:type="dxa"/>
              <w:right w:w="108" w:type="dxa"/>
            </w:tcMar>
            <w:vAlign w:val="center"/>
            <w:hideMark/>
          </w:tcPr>
          <w:p w14:paraId="31BCA166" w14:textId="77777777" w:rsidR="00BE13F0" w:rsidRPr="009D2B1D" w:rsidRDefault="00BE13F0" w:rsidP="00021A86">
            <w:pPr>
              <w:spacing w:before="180" w:after="180" w:line="240" w:lineRule="auto"/>
              <w:jc w:val="both"/>
              <w:rPr>
                <w:rFonts w:ascii="Times New Roman" w:eastAsia="Times New Roman" w:hAnsi="Times New Roman" w:cs="Times New Roman"/>
                <w:color w:val="000000" w:themeColor="text1"/>
                <w:sz w:val="28"/>
                <w:szCs w:val="28"/>
              </w:rPr>
            </w:pPr>
            <w:r w:rsidRPr="009D2B1D">
              <w:rPr>
                <w:rFonts w:ascii="Times New Roman" w:eastAsia="Times New Roman" w:hAnsi="Times New Roman" w:cs="Times New Roman"/>
                <w:color w:val="000000" w:themeColor="text1"/>
                <w:sz w:val="28"/>
                <w:szCs w:val="28"/>
              </w:rPr>
              <w:t>01 triệu đồng/năm</w:t>
            </w:r>
          </w:p>
        </w:tc>
      </w:tr>
    </w:tbl>
    <w:p w14:paraId="387C6A40" w14:textId="77777777" w:rsidR="00004E41" w:rsidRPr="009D2B1D" w:rsidRDefault="00004E41" w:rsidP="00021A86">
      <w:pPr>
        <w:shd w:val="clear" w:color="auto" w:fill="FFFFFF"/>
        <w:spacing w:after="0" w:line="288" w:lineRule="auto"/>
        <w:ind w:firstLine="576"/>
        <w:jc w:val="both"/>
        <w:rPr>
          <w:rFonts w:ascii="Times New Roman" w:eastAsia="Times New Roman" w:hAnsi="Times New Roman" w:cs="Times New Roman"/>
          <w:b/>
          <w:color w:val="000000" w:themeColor="text1"/>
          <w:sz w:val="28"/>
          <w:szCs w:val="28"/>
          <w:lang w:val="pt-BR"/>
        </w:rPr>
        <w:sectPr w:rsidR="00004E41" w:rsidRPr="009D2B1D">
          <w:pgSz w:w="12240" w:h="15840"/>
          <w:pgMar w:top="1440" w:right="1440" w:bottom="1440" w:left="1440" w:header="720" w:footer="720" w:gutter="0"/>
          <w:cols w:space="720"/>
          <w:docGrid w:linePitch="360"/>
        </w:sectPr>
      </w:pPr>
    </w:p>
    <w:p w14:paraId="663EC93E" w14:textId="65AB8407" w:rsidR="00DE74BE" w:rsidRDefault="00DE74BE" w:rsidP="00021A86">
      <w:pPr>
        <w:shd w:val="clear" w:color="auto" w:fill="FFFFFF"/>
        <w:spacing w:after="0" w:line="288" w:lineRule="auto"/>
        <w:ind w:firstLine="576"/>
        <w:jc w:val="both"/>
        <w:rPr>
          <w:rFonts w:ascii="Times New Roman" w:eastAsia="Times New Roman" w:hAnsi="Times New Roman" w:cs="Times New Roman"/>
          <w:b/>
          <w:bCs/>
          <w:color w:val="000000" w:themeColor="text1"/>
          <w:kern w:val="36"/>
          <w:sz w:val="28"/>
          <w:szCs w:val="28"/>
          <w:lang w:val="pt-BR"/>
        </w:rPr>
      </w:pPr>
      <w:r w:rsidRPr="00EE68EF">
        <w:rPr>
          <w:rFonts w:ascii="Times New Roman" w:eastAsia="Times New Roman" w:hAnsi="Times New Roman" w:cs="Times New Roman"/>
          <w:b/>
          <w:color w:val="000000" w:themeColor="text1"/>
          <w:sz w:val="28"/>
          <w:szCs w:val="28"/>
          <w:lang w:val="pt-BR"/>
        </w:rPr>
        <w:lastRenderedPageBreak/>
        <w:t>Tham luận</w:t>
      </w:r>
      <w:r w:rsidR="00004E41" w:rsidRPr="00EE68EF">
        <w:rPr>
          <w:rFonts w:ascii="Times New Roman" w:eastAsia="Times New Roman" w:hAnsi="Times New Roman" w:cs="Times New Roman"/>
          <w:b/>
          <w:color w:val="000000" w:themeColor="text1"/>
          <w:sz w:val="28"/>
          <w:szCs w:val="28"/>
          <w:lang w:val="pt-BR"/>
        </w:rPr>
        <w:t xml:space="preserve"> </w:t>
      </w:r>
      <w:r w:rsidR="00401E3C">
        <w:rPr>
          <w:rFonts w:ascii="Times New Roman" w:eastAsia="Times New Roman" w:hAnsi="Times New Roman" w:cs="Times New Roman"/>
          <w:b/>
          <w:color w:val="000000" w:themeColor="text1"/>
          <w:sz w:val="28"/>
          <w:szCs w:val="28"/>
          <w:lang w:val="pt-BR"/>
        </w:rPr>
        <w:t>8</w:t>
      </w:r>
      <w:r w:rsidRPr="00EE68EF">
        <w:rPr>
          <w:rFonts w:ascii="Times New Roman" w:eastAsia="Times New Roman" w:hAnsi="Times New Roman" w:cs="Times New Roman"/>
          <w:b/>
          <w:color w:val="000000" w:themeColor="text1"/>
          <w:sz w:val="28"/>
          <w:szCs w:val="28"/>
          <w:lang w:val="pt-BR"/>
        </w:rPr>
        <w:t xml:space="preserve">: Các quy định pháp luật về </w:t>
      </w:r>
      <w:r w:rsidRPr="00EE68EF">
        <w:rPr>
          <w:rFonts w:ascii="Times New Roman" w:eastAsia="Times New Roman" w:hAnsi="Times New Roman" w:cs="Times New Roman"/>
          <w:b/>
          <w:bCs/>
          <w:color w:val="000000" w:themeColor="text1"/>
          <w:sz w:val="28"/>
          <w:szCs w:val="28"/>
          <w:bdr w:val="none" w:sz="0" w:space="0" w:color="auto" w:frame="1"/>
          <w:lang w:val="pt-BR"/>
        </w:rPr>
        <w:t xml:space="preserve">huy động vốn từ </w:t>
      </w:r>
      <w:r w:rsidRPr="00EE68EF">
        <w:rPr>
          <w:rFonts w:ascii="Times New Roman" w:eastAsia="Times New Roman" w:hAnsi="Times New Roman" w:cs="Times New Roman"/>
          <w:b/>
          <w:bCs/>
          <w:color w:val="000000" w:themeColor="text1"/>
          <w:sz w:val="28"/>
          <w:szCs w:val="28"/>
          <w:lang w:val="pt-BR"/>
        </w:rPr>
        <w:t>phát hành trái phiếu</w:t>
      </w:r>
      <w:r w:rsidR="00BE3469" w:rsidRPr="00EE68EF">
        <w:rPr>
          <w:rFonts w:ascii="Times New Roman" w:eastAsia="Times New Roman" w:hAnsi="Times New Roman" w:cs="Times New Roman"/>
          <w:b/>
          <w:bCs/>
          <w:color w:val="000000" w:themeColor="text1"/>
          <w:kern w:val="36"/>
          <w:sz w:val="28"/>
          <w:szCs w:val="28"/>
          <w:lang w:val="pt-BR"/>
        </w:rPr>
        <w:t>.</w:t>
      </w:r>
      <w:r w:rsidR="00004E41" w:rsidRPr="00EE68EF">
        <w:rPr>
          <w:rFonts w:ascii="Times New Roman" w:eastAsia="Times New Roman" w:hAnsi="Times New Roman" w:cs="Times New Roman"/>
          <w:b/>
          <w:bCs/>
          <w:color w:val="000000" w:themeColor="text1"/>
          <w:kern w:val="36"/>
          <w:sz w:val="28"/>
          <w:szCs w:val="28"/>
          <w:lang w:val="pt-BR"/>
        </w:rPr>
        <w:t xml:space="preserve"> </w:t>
      </w:r>
      <w:r w:rsidR="00BE3469" w:rsidRPr="00EE68EF">
        <w:rPr>
          <w:rFonts w:ascii="Times New Roman" w:eastAsia="Times New Roman" w:hAnsi="Times New Roman" w:cs="Times New Roman"/>
          <w:b/>
          <w:bCs/>
          <w:color w:val="000000" w:themeColor="text1"/>
          <w:kern w:val="36"/>
          <w:sz w:val="28"/>
          <w:szCs w:val="28"/>
          <w:lang w:val="pt-BR"/>
        </w:rPr>
        <w:t>Một số rủi ro pháp lý cần lưu ý và giải pháp tối ưu cho doanh nghiệp</w:t>
      </w:r>
    </w:p>
    <w:tbl>
      <w:tblPr>
        <w:tblStyle w:val="TableGrid"/>
        <w:tblpPr w:leftFromText="180" w:rightFromText="180" w:vertAnchor="page" w:horzAnchor="margin" w:tblpXSpec="right" w:tblpY="2479"/>
        <w:tblW w:w="98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8"/>
      </w:tblGrid>
      <w:tr w:rsidR="000F249D" w:rsidRPr="00EE68EF" w14:paraId="6D4DCCFE" w14:textId="77777777" w:rsidTr="000F249D">
        <w:tc>
          <w:tcPr>
            <w:tcW w:w="3618" w:type="dxa"/>
          </w:tcPr>
          <w:p w14:paraId="45E13F7F" w14:textId="77777777" w:rsidR="000F249D" w:rsidRPr="000F249D" w:rsidRDefault="000F249D" w:rsidP="001E4AB9">
            <w:pPr>
              <w:jc w:val="both"/>
              <w:rPr>
                <w:rFonts w:ascii="Times New Roman" w:hAnsi="Times New Roman"/>
                <w:b/>
                <w:i/>
                <w:color w:val="000000" w:themeColor="text1"/>
                <w:sz w:val="28"/>
                <w:szCs w:val="28"/>
                <w:lang w:val="vi-VN"/>
              </w:rPr>
            </w:pPr>
            <w:r w:rsidRPr="000F249D">
              <w:rPr>
                <w:rFonts w:ascii="Times New Roman" w:hAnsi="Times New Roman"/>
                <w:b/>
                <w:i/>
                <w:color w:val="000000" w:themeColor="text1"/>
                <w:sz w:val="28"/>
                <w:szCs w:val="28"/>
              </w:rPr>
              <w:t xml:space="preserve">Bà Trần Thị Hằng Nga -  Viện Khoa học Chính sách và Pháp luật </w:t>
            </w:r>
          </w:p>
        </w:tc>
      </w:tr>
    </w:tbl>
    <w:p w14:paraId="2015214F" w14:textId="77777777" w:rsidR="007D724F" w:rsidRPr="00EE68EF" w:rsidRDefault="007D724F" w:rsidP="001217D8">
      <w:pPr>
        <w:shd w:val="clear" w:color="auto" w:fill="FFFFFF"/>
        <w:spacing w:after="0" w:line="288" w:lineRule="auto"/>
        <w:ind w:firstLine="576"/>
        <w:rPr>
          <w:rFonts w:ascii="Times New Roman" w:eastAsia="Times New Roman" w:hAnsi="Times New Roman" w:cs="Times New Roman"/>
          <w:b/>
          <w:bCs/>
          <w:color w:val="000000" w:themeColor="text1"/>
          <w:kern w:val="36"/>
          <w:sz w:val="28"/>
          <w:szCs w:val="28"/>
          <w:lang w:val="pt-BR"/>
        </w:rPr>
      </w:pPr>
    </w:p>
    <w:p w14:paraId="72DE0E6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Theo khoản 3 Điều 4 </w:t>
      </w:r>
      <w:hyperlink r:id="rId42" w:tgtFrame="_blank" w:history="1">
        <w:r w:rsidRPr="00AC1E2D">
          <w:rPr>
            <w:rFonts w:ascii="Times New Roman" w:eastAsia="Times New Roman" w:hAnsi="Times New Roman" w:cs="Times New Roman"/>
            <w:color w:val="000000" w:themeColor="text1"/>
            <w:spacing w:val="2"/>
            <w:sz w:val="28"/>
            <w:szCs w:val="28"/>
          </w:rPr>
          <w:t>Luật Chứng khoán 2019</w:t>
        </w:r>
      </w:hyperlink>
      <w:r w:rsidRPr="00AC1E2D">
        <w:rPr>
          <w:rFonts w:ascii="Times New Roman" w:eastAsia="Times New Roman" w:hAnsi="Times New Roman" w:cs="Times New Roman"/>
          <w:color w:val="000000" w:themeColor="text1"/>
          <w:spacing w:val="2"/>
          <w:sz w:val="28"/>
          <w:szCs w:val="28"/>
        </w:rPr>
        <w:t> quy định trái phiếu là loại chứng khoán xác nhận quyền và lợi ích hợp pháp của người sở hữu đối với một phần nợ của tổ chức phát hành.</w:t>
      </w:r>
    </w:p>
    <w:p w14:paraId="4BDC4D01"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Bên cạnh đó, theo Điều 4 </w:t>
      </w:r>
      <w:hyperlink r:id="rId43" w:tgtFrame="_blank" w:history="1">
        <w:r w:rsidRPr="00AC1E2D">
          <w:rPr>
            <w:rFonts w:ascii="Times New Roman" w:eastAsia="Times New Roman" w:hAnsi="Times New Roman" w:cs="Times New Roman"/>
            <w:color w:val="000000" w:themeColor="text1"/>
            <w:spacing w:val="2"/>
            <w:sz w:val="28"/>
            <w:szCs w:val="28"/>
          </w:rPr>
          <w:t>Nghị định 153/2020/NĐ-CP</w:t>
        </w:r>
      </w:hyperlink>
      <w:r w:rsidRPr="00AC1E2D">
        <w:rPr>
          <w:rFonts w:ascii="Times New Roman" w:eastAsia="Times New Roman" w:hAnsi="Times New Roman" w:cs="Times New Roman"/>
          <w:color w:val="000000" w:themeColor="text1"/>
          <w:spacing w:val="2"/>
          <w:sz w:val="28"/>
          <w:szCs w:val="28"/>
        </w:rPr>
        <w:t> được sửa đổi bởi khoản 1 Điều 1 </w:t>
      </w:r>
      <w:hyperlink r:id="rId44" w:tgtFrame="_blank" w:history="1">
        <w:r w:rsidRPr="00AC1E2D">
          <w:rPr>
            <w:rFonts w:ascii="Times New Roman" w:eastAsia="Times New Roman" w:hAnsi="Times New Roman" w:cs="Times New Roman"/>
            <w:color w:val="000000" w:themeColor="text1"/>
            <w:spacing w:val="2"/>
            <w:sz w:val="28"/>
            <w:szCs w:val="28"/>
          </w:rPr>
          <w:t>Nghị định 65/2022/NĐ-CP</w:t>
        </w:r>
      </w:hyperlink>
      <w:r w:rsidRPr="00AC1E2D">
        <w:rPr>
          <w:rFonts w:ascii="Times New Roman" w:eastAsia="Times New Roman" w:hAnsi="Times New Roman" w:cs="Times New Roman"/>
          <w:color w:val="000000" w:themeColor="text1"/>
          <w:spacing w:val="2"/>
          <w:sz w:val="28"/>
          <w:szCs w:val="28"/>
        </w:rPr>
        <w:t> cũng có giải thích về một số loại trái phiếu như sau:</w:t>
      </w:r>
    </w:p>
    <w:tbl>
      <w:tblPr>
        <w:tblW w:w="9354" w:type="dxa"/>
        <w:jc w:val="center"/>
        <w:tblCellMar>
          <w:top w:w="75" w:type="dxa"/>
          <w:left w:w="75" w:type="dxa"/>
          <w:bottom w:w="75" w:type="dxa"/>
          <w:right w:w="75" w:type="dxa"/>
        </w:tblCellMar>
        <w:tblLook w:val="04A0" w:firstRow="1" w:lastRow="0" w:firstColumn="1" w:lastColumn="0" w:noHBand="0" w:noVBand="1"/>
      </w:tblPr>
      <w:tblGrid>
        <w:gridCol w:w="3202"/>
        <w:gridCol w:w="6152"/>
      </w:tblGrid>
      <w:tr w:rsidR="00021A86" w:rsidRPr="00AC1E2D" w14:paraId="3025BB45"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shd w:val="clear" w:color="auto" w:fill="auto"/>
            <w:hideMark/>
          </w:tcPr>
          <w:p w14:paraId="5D82FE4C" w14:textId="77777777" w:rsidR="00F66CD9" w:rsidRPr="00413F21" w:rsidRDefault="00F66CD9" w:rsidP="00E67218">
            <w:pPr>
              <w:spacing w:after="0" w:line="288" w:lineRule="auto"/>
              <w:jc w:val="center"/>
              <w:rPr>
                <w:rFonts w:ascii="Times New Roman" w:eastAsia="Times New Roman" w:hAnsi="Times New Roman" w:cs="Times New Roman"/>
                <w:color w:val="000000" w:themeColor="text1"/>
                <w:sz w:val="28"/>
                <w:szCs w:val="28"/>
              </w:rPr>
            </w:pPr>
            <w:r w:rsidRPr="00413F21">
              <w:rPr>
                <w:rFonts w:ascii="Times New Roman" w:eastAsia="Times New Roman" w:hAnsi="Times New Roman" w:cs="Times New Roman"/>
                <w:b/>
                <w:bCs/>
                <w:color w:val="000000" w:themeColor="text1"/>
                <w:sz w:val="28"/>
                <w:szCs w:val="28"/>
              </w:rPr>
              <w:t>Loại trái phiếu</w:t>
            </w:r>
          </w:p>
        </w:tc>
        <w:tc>
          <w:tcPr>
            <w:tcW w:w="6152" w:type="dxa"/>
            <w:tcBorders>
              <w:top w:val="single" w:sz="6" w:space="0" w:color="000000"/>
              <w:left w:val="single" w:sz="6" w:space="0" w:color="000000"/>
              <w:bottom w:val="single" w:sz="6" w:space="0" w:color="000000"/>
              <w:right w:val="single" w:sz="6" w:space="0" w:color="000000"/>
            </w:tcBorders>
            <w:shd w:val="clear" w:color="auto" w:fill="auto"/>
            <w:hideMark/>
          </w:tcPr>
          <w:p w14:paraId="056288C6" w14:textId="77777777" w:rsidR="00F66CD9" w:rsidRPr="00413F21" w:rsidRDefault="00F66CD9" w:rsidP="00E67218">
            <w:pPr>
              <w:spacing w:after="0" w:line="288" w:lineRule="auto"/>
              <w:jc w:val="center"/>
              <w:rPr>
                <w:rFonts w:ascii="Times New Roman" w:eastAsia="Times New Roman" w:hAnsi="Times New Roman" w:cs="Times New Roman"/>
                <w:color w:val="000000" w:themeColor="text1"/>
                <w:sz w:val="28"/>
                <w:szCs w:val="28"/>
              </w:rPr>
            </w:pPr>
            <w:r w:rsidRPr="00413F21">
              <w:rPr>
                <w:rFonts w:ascii="Times New Roman" w:eastAsia="Times New Roman" w:hAnsi="Times New Roman" w:cs="Times New Roman"/>
                <w:b/>
                <w:bCs/>
                <w:color w:val="000000" w:themeColor="text1"/>
                <w:sz w:val="28"/>
                <w:szCs w:val="28"/>
              </w:rPr>
              <w:t>Khái niệm</w:t>
            </w:r>
          </w:p>
        </w:tc>
      </w:tr>
      <w:tr w:rsidR="00021A86" w:rsidRPr="00AC1E2D" w14:paraId="6F209FC8"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hideMark/>
          </w:tcPr>
          <w:p w14:paraId="328E0768"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Trái phiếu doanh nghiệp</w:t>
            </w:r>
          </w:p>
        </w:tc>
        <w:tc>
          <w:tcPr>
            <w:tcW w:w="6152" w:type="dxa"/>
            <w:tcBorders>
              <w:top w:val="single" w:sz="6" w:space="0" w:color="000000"/>
              <w:left w:val="single" w:sz="6" w:space="0" w:color="000000"/>
              <w:bottom w:val="single" w:sz="6" w:space="0" w:color="000000"/>
              <w:right w:val="single" w:sz="6" w:space="0" w:color="000000"/>
            </w:tcBorders>
            <w:hideMark/>
          </w:tcPr>
          <w:p w14:paraId="0DBEE33F"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là loại chứng khoán có kỳ hạn từ 01 năm trở lên do doanh nghiệp phát hành, xác nhận quyền và lợi ích hợp pháp của người sở hữu đối với một phần nợ của doanh nghiệp phát hành.</w:t>
            </w:r>
          </w:p>
        </w:tc>
      </w:tr>
      <w:tr w:rsidR="00021A86" w:rsidRPr="00AC1E2D" w14:paraId="27714841"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hideMark/>
          </w:tcPr>
          <w:p w14:paraId="519EA8D3"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Trái phiếu doanh nghiệp xanh</w:t>
            </w:r>
          </w:p>
        </w:tc>
        <w:tc>
          <w:tcPr>
            <w:tcW w:w="6152" w:type="dxa"/>
            <w:tcBorders>
              <w:top w:val="single" w:sz="6" w:space="0" w:color="000000"/>
              <w:left w:val="single" w:sz="6" w:space="0" w:color="000000"/>
              <w:bottom w:val="single" w:sz="6" w:space="0" w:color="000000"/>
              <w:right w:val="single" w:sz="6" w:space="0" w:color="000000"/>
            </w:tcBorders>
            <w:hideMark/>
          </w:tcPr>
          <w:p w14:paraId="4EBF9984"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Là trái phiếu doanh nghiệp được phát hành để đầu tư cho dự án thuộc lĩnh vực bảo vệ môi trường, dự án mang lại lợi ích về môi trường theo quy định của pháp luật bảo vệ môi trường.</w:t>
            </w:r>
          </w:p>
        </w:tc>
      </w:tr>
      <w:tr w:rsidR="00021A86" w:rsidRPr="00AC1E2D" w14:paraId="3BF7E4CF"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hideMark/>
          </w:tcPr>
          <w:p w14:paraId="3FED9D49"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Trái phiếu chuyển đổi</w:t>
            </w:r>
          </w:p>
        </w:tc>
        <w:tc>
          <w:tcPr>
            <w:tcW w:w="6152" w:type="dxa"/>
            <w:tcBorders>
              <w:top w:val="single" w:sz="6" w:space="0" w:color="000000"/>
              <w:left w:val="single" w:sz="6" w:space="0" w:color="000000"/>
              <w:bottom w:val="single" w:sz="6" w:space="0" w:color="000000"/>
              <w:right w:val="single" w:sz="6" w:space="0" w:color="000000"/>
            </w:tcBorders>
            <w:hideMark/>
          </w:tcPr>
          <w:p w14:paraId="19B7D1CA"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là loại hình trái phiếu do công ty cổ phần phát hành, có thể chuyển đổi thành cổ phiếu phổ thông của chính doanh nghiệp phát hành theo điều kiện, điều khoản đã được xác định tại phương án phát hành trái phiếu.</w:t>
            </w:r>
          </w:p>
        </w:tc>
      </w:tr>
      <w:tr w:rsidR="00021A86" w:rsidRPr="00AC1E2D" w14:paraId="43C0360F"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hideMark/>
          </w:tcPr>
          <w:p w14:paraId="3011BC68"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Trái phiếu có bảo đảm</w:t>
            </w:r>
          </w:p>
        </w:tc>
        <w:tc>
          <w:tcPr>
            <w:tcW w:w="6152" w:type="dxa"/>
            <w:tcBorders>
              <w:top w:val="single" w:sz="6" w:space="0" w:color="000000"/>
              <w:left w:val="single" w:sz="6" w:space="0" w:color="000000"/>
              <w:bottom w:val="single" w:sz="6" w:space="0" w:color="000000"/>
              <w:right w:val="single" w:sz="6" w:space="0" w:color="000000"/>
            </w:tcBorders>
            <w:hideMark/>
          </w:tcPr>
          <w:p w14:paraId="3375A824"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 xml:space="preserve">Là loại hình trái phiếu được bảo đảm thanh toán toàn bộ hoặc một phần lãi, gốc bằng tài sản của doanh nghiệp phát hành hoặc tài sản của bên thứ ba theo quy định của pháp luật về bảo đảm thực hiện nghĩa vụ; hoặc được bảo lãnh thanh toán của tổ chức tín dụng, chi nhánh ngân hàng nước ngoài, tổ chức tài chính ở </w:t>
            </w:r>
            <w:r w:rsidRPr="00AC1E2D">
              <w:rPr>
                <w:rFonts w:ascii="Times New Roman" w:eastAsia="Times New Roman" w:hAnsi="Times New Roman" w:cs="Times New Roman"/>
                <w:color w:val="000000" w:themeColor="text1"/>
                <w:sz w:val="28"/>
                <w:szCs w:val="28"/>
              </w:rPr>
              <w:lastRenderedPageBreak/>
              <w:t>nước ngoài, tổ chức tài chính quốc tế theo quy định của pháp luật.”</w:t>
            </w:r>
          </w:p>
        </w:tc>
      </w:tr>
      <w:tr w:rsidR="00021A86" w:rsidRPr="00AC1E2D" w14:paraId="71F4B891" w14:textId="77777777" w:rsidTr="00E67218">
        <w:trPr>
          <w:jc w:val="center"/>
        </w:trPr>
        <w:tc>
          <w:tcPr>
            <w:tcW w:w="3202" w:type="dxa"/>
            <w:tcBorders>
              <w:top w:val="single" w:sz="6" w:space="0" w:color="000000"/>
              <w:left w:val="single" w:sz="6" w:space="0" w:color="000000"/>
              <w:bottom w:val="single" w:sz="6" w:space="0" w:color="000000"/>
              <w:right w:val="single" w:sz="6" w:space="0" w:color="000000"/>
            </w:tcBorders>
            <w:hideMark/>
          </w:tcPr>
          <w:p w14:paraId="3FE6B424"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lastRenderedPageBreak/>
              <w:t>Trái phiếu kèm chứng quyền</w:t>
            </w:r>
          </w:p>
        </w:tc>
        <w:tc>
          <w:tcPr>
            <w:tcW w:w="6152" w:type="dxa"/>
            <w:tcBorders>
              <w:top w:val="single" w:sz="6" w:space="0" w:color="000000"/>
              <w:left w:val="single" w:sz="6" w:space="0" w:color="000000"/>
              <w:bottom w:val="single" w:sz="6" w:space="0" w:color="000000"/>
              <w:right w:val="single" w:sz="6" w:space="0" w:color="000000"/>
            </w:tcBorders>
            <w:hideMark/>
          </w:tcPr>
          <w:p w14:paraId="1099A8FD" w14:textId="77777777" w:rsidR="00F66CD9" w:rsidRPr="00AC1E2D" w:rsidRDefault="00F66CD9" w:rsidP="00AC1E2D">
            <w:pPr>
              <w:spacing w:after="0" w:line="288" w:lineRule="auto"/>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là loại hình trái phiếu được công ty cổ phần phát hành kèm theo chứng quyền, cho phép người sở hữu chứng quyền được quyền mua một số cổ phiếu phổ thông của doanh nghiệp phát hành theo điều kiện, điều khoản đã được xác định tại phương án phát hành trái phiếu.</w:t>
            </w:r>
          </w:p>
        </w:tc>
      </w:tr>
    </w:tbl>
    <w:p w14:paraId="058B5511" w14:textId="04EF1C3B" w:rsidR="00F66CD9" w:rsidRPr="001217D8" w:rsidRDefault="00F66CD9" w:rsidP="007D724F">
      <w:pPr>
        <w:shd w:val="clear" w:color="auto" w:fill="FFFFFF"/>
        <w:spacing w:after="0" w:line="288" w:lineRule="auto"/>
        <w:ind w:firstLine="720"/>
        <w:jc w:val="both"/>
        <w:outlineLvl w:val="1"/>
        <w:rPr>
          <w:rFonts w:ascii="Times New Roman" w:eastAsia="Times New Roman" w:hAnsi="Times New Roman" w:cs="Times New Roman"/>
          <w:i/>
          <w:color w:val="000000" w:themeColor="text1"/>
          <w:spacing w:val="2"/>
          <w:sz w:val="28"/>
          <w:szCs w:val="28"/>
        </w:rPr>
      </w:pPr>
      <w:r w:rsidRPr="001217D8">
        <w:rPr>
          <w:rFonts w:ascii="Times New Roman" w:eastAsia="Times New Roman" w:hAnsi="Times New Roman" w:cs="Times New Roman"/>
          <w:b/>
          <w:bCs/>
          <w:i/>
          <w:color w:val="000000" w:themeColor="text1"/>
          <w:spacing w:val="2"/>
          <w:sz w:val="28"/>
          <w:szCs w:val="28"/>
        </w:rPr>
        <w:t xml:space="preserve"> </w:t>
      </w:r>
      <w:r w:rsidR="00A928B4">
        <w:rPr>
          <w:rFonts w:ascii="Times New Roman" w:eastAsia="Times New Roman" w:hAnsi="Times New Roman" w:cs="Times New Roman"/>
          <w:b/>
          <w:bCs/>
          <w:i/>
          <w:color w:val="000000" w:themeColor="text1"/>
          <w:spacing w:val="2"/>
          <w:sz w:val="28"/>
          <w:szCs w:val="28"/>
        </w:rPr>
        <w:t xml:space="preserve">1. </w:t>
      </w:r>
      <w:r w:rsidRPr="001217D8">
        <w:rPr>
          <w:rFonts w:ascii="Times New Roman" w:eastAsia="Times New Roman" w:hAnsi="Times New Roman" w:cs="Times New Roman"/>
          <w:b/>
          <w:bCs/>
          <w:i/>
          <w:color w:val="000000" w:themeColor="text1"/>
          <w:spacing w:val="2"/>
          <w:sz w:val="28"/>
          <w:szCs w:val="28"/>
        </w:rPr>
        <w:t>Nguyên tắc phát hành và sử dụng vốn trái phiếu doanh nghiệp</w:t>
      </w:r>
    </w:p>
    <w:p w14:paraId="4D4B278B"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Trước đây, khi phát hành và sử dụng vốn trái phiếu doanh nghiệp cần phải tuân thủ 03 nguyên tắc theo Điều 5 </w:t>
      </w:r>
      <w:hyperlink r:id="rId45" w:tgtFrame="_blank" w:history="1">
        <w:r w:rsidRPr="00AC1E2D">
          <w:rPr>
            <w:rFonts w:ascii="Times New Roman" w:eastAsia="Times New Roman" w:hAnsi="Times New Roman" w:cs="Times New Roman"/>
            <w:color w:val="000000" w:themeColor="text1"/>
            <w:spacing w:val="2"/>
            <w:sz w:val="28"/>
            <w:szCs w:val="28"/>
          </w:rPr>
          <w:t>Nghị định 153/2020/NĐ-CP</w:t>
        </w:r>
      </w:hyperlink>
      <w:r w:rsidRPr="00AC1E2D">
        <w:rPr>
          <w:rFonts w:ascii="Times New Roman" w:eastAsia="Times New Roman" w:hAnsi="Times New Roman" w:cs="Times New Roman"/>
          <w:color w:val="000000" w:themeColor="text1"/>
          <w:spacing w:val="2"/>
          <w:sz w:val="28"/>
          <w:szCs w:val="28"/>
        </w:rPr>
        <w:t> cụ thể:</w:t>
      </w:r>
    </w:p>
    <w:p w14:paraId="5738EC71"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i/>
          <w:iCs/>
          <w:color w:val="000000" w:themeColor="text1"/>
          <w:spacing w:val="2"/>
          <w:sz w:val="28"/>
          <w:szCs w:val="28"/>
        </w:rPr>
      </w:pPr>
      <w:r w:rsidRPr="00AC1E2D">
        <w:rPr>
          <w:rFonts w:ascii="Times New Roman" w:eastAsia="Times New Roman" w:hAnsi="Times New Roman" w:cs="Times New Roman"/>
          <w:b/>
          <w:bCs/>
          <w:i/>
          <w:iCs/>
          <w:color w:val="000000" w:themeColor="text1"/>
          <w:spacing w:val="2"/>
          <w:sz w:val="28"/>
          <w:szCs w:val="28"/>
        </w:rPr>
        <w:t>Điều 5. Nguyên tắc phát hành và sử dụng vốn trái phiếu</w:t>
      </w:r>
    </w:p>
    <w:p w14:paraId="3DD388F0"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i/>
          <w:iCs/>
          <w:color w:val="000000" w:themeColor="text1"/>
          <w:spacing w:val="2"/>
          <w:sz w:val="28"/>
          <w:szCs w:val="28"/>
        </w:rPr>
      </w:pPr>
      <w:r w:rsidRPr="00AC1E2D">
        <w:rPr>
          <w:rFonts w:ascii="Times New Roman" w:eastAsia="Times New Roman" w:hAnsi="Times New Roman" w:cs="Times New Roman"/>
          <w:i/>
          <w:iCs/>
          <w:color w:val="000000" w:themeColor="text1"/>
          <w:spacing w:val="2"/>
          <w:sz w:val="28"/>
          <w:szCs w:val="28"/>
        </w:rPr>
        <w:t>1. Doanh nghiệp phát hành trái phiếu theo nguyên tắc tự vay, tự trả, tự chịu trách nhiệm về hiệu quả sử dụng vốn và đảm bảo khả năng trả nợ.</w:t>
      </w:r>
    </w:p>
    <w:p w14:paraId="77392983"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i/>
          <w:iCs/>
          <w:color w:val="000000" w:themeColor="text1"/>
          <w:spacing w:val="2"/>
          <w:sz w:val="28"/>
          <w:szCs w:val="28"/>
        </w:rPr>
      </w:pPr>
      <w:r w:rsidRPr="00AC1E2D">
        <w:rPr>
          <w:rFonts w:ascii="Times New Roman" w:eastAsia="Times New Roman" w:hAnsi="Times New Roman" w:cs="Times New Roman"/>
          <w:i/>
          <w:iCs/>
          <w:color w:val="000000" w:themeColor="text1"/>
          <w:spacing w:val="2"/>
          <w:sz w:val="28"/>
          <w:szCs w:val="28"/>
        </w:rPr>
        <w:t>2. Mục đích phát hành trái phiếu bao gồm: để thực hiện các chương trình, dự án đầu tư; tăng quy mô vốn hoạt động; cơ cấu lại nguồn vốn của chính doanh nghiệp hoặc mục đích phát hành trái phiếu theo quy định của pháp luật chuyên ngành. Doanh nghiệp phải nêu cụ thể mục đích phát hành tại phương án phát hành theo quy định tại Điều 13 Nghị định này và công bố thông tin cho nhà đầu tư đăng ký mua trái phiếu. Việc sử dụng vốn huy động từ phát hành trái phiếu của doanh nghiệp phải đảm bảo đúng mục đích theo phương án phát hành và nội dung công bố thông tin cho nhà đầu tư.</w:t>
      </w:r>
    </w:p>
    <w:p w14:paraId="66FA8DF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i/>
          <w:iCs/>
          <w:color w:val="000000" w:themeColor="text1"/>
          <w:spacing w:val="2"/>
          <w:sz w:val="28"/>
          <w:szCs w:val="28"/>
        </w:rPr>
      </w:pPr>
      <w:r w:rsidRPr="00AC1E2D">
        <w:rPr>
          <w:rFonts w:ascii="Times New Roman" w:eastAsia="Times New Roman" w:hAnsi="Times New Roman" w:cs="Times New Roman"/>
          <w:i/>
          <w:iCs/>
          <w:color w:val="000000" w:themeColor="text1"/>
          <w:spacing w:val="2"/>
          <w:sz w:val="28"/>
          <w:szCs w:val="28"/>
        </w:rPr>
        <w:t>3. Đối với phát hành trái phiếu xanh, ngoài các quy định tại khoản 1 và khoản 2 Điều này, nguồn vốn từ phát hành trái phiếu phải được hạch toán, quản lý theo dõi riêng và giải ngân cho các dự án thuộc lĩnh vực bảo vệ môi trường, dự án mang lại lợi ích về môi trường theo phương án phát hành đã được phê duyệt.</w:t>
      </w:r>
    </w:p>
    <w:p w14:paraId="3525DF14"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Tuy nhiên, kể từ ngày 16/9/2022 khi </w:t>
      </w:r>
      <w:hyperlink r:id="rId46" w:tgtFrame="_blank" w:history="1">
        <w:r w:rsidRPr="00AC1E2D">
          <w:rPr>
            <w:rFonts w:ascii="Times New Roman" w:eastAsia="Times New Roman" w:hAnsi="Times New Roman" w:cs="Times New Roman"/>
            <w:color w:val="000000" w:themeColor="text1"/>
            <w:spacing w:val="2"/>
            <w:sz w:val="28"/>
            <w:szCs w:val="28"/>
          </w:rPr>
          <w:t>Nghị định 65/2022/NĐ-CP</w:t>
        </w:r>
      </w:hyperlink>
      <w:r w:rsidRPr="00AC1E2D">
        <w:rPr>
          <w:rFonts w:ascii="Times New Roman" w:eastAsia="Times New Roman" w:hAnsi="Times New Roman" w:cs="Times New Roman"/>
          <w:color w:val="000000" w:themeColor="text1"/>
          <w:spacing w:val="2"/>
          <w:sz w:val="28"/>
          <w:szCs w:val="28"/>
        </w:rPr>
        <w:t> có hiệu lực thi hành thì nguyên tắc phát hành và sử dụng vốn trái phiếu đã được sửa đổi bởi khoản 2 Điều 1 và được bổ sung bởi Khoản 3 Điều 1 </w:t>
      </w:r>
      <w:hyperlink r:id="rId47" w:tgtFrame="_blank" w:history="1">
        <w:r w:rsidRPr="00AC1E2D">
          <w:rPr>
            <w:rFonts w:ascii="Times New Roman" w:eastAsia="Times New Roman" w:hAnsi="Times New Roman" w:cs="Times New Roman"/>
            <w:color w:val="000000" w:themeColor="text1"/>
            <w:spacing w:val="2"/>
            <w:sz w:val="28"/>
            <w:szCs w:val="28"/>
          </w:rPr>
          <w:t>Nghị định 65/2022/NĐ-CP</w:t>
        </w:r>
      </w:hyperlink>
      <w:r w:rsidRPr="00AC1E2D">
        <w:rPr>
          <w:rFonts w:ascii="Times New Roman" w:eastAsia="Times New Roman" w:hAnsi="Times New Roman" w:cs="Times New Roman"/>
          <w:color w:val="000000" w:themeColor="text1"/>
          <w:spacing w:val="2"/>
          <w:sz w:val="28"/>
          <w:szCs w:val="28"/>
        </w:rPr>
        <w:t>.</w:t>
      </w:r>
    </w:p>
    <w:p w14:paraId="08EBD6A3"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Như vậy, sau khi được sửa đổi, bổ sung thì nguyên tắc phát hành và sử dụng vốn trái phiếu doanh nghiệp hiện hành như sau:</w:t>
      </w:r>
    </w:p>
    <w:p w14:paraId="5A95F2E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(1) Doanh nghiệp phát hành trái phiếu theo nguyên tắc tự vay, tự trả, tự chịu trách nhiệm về hiệu quả sử dụng vốn và đảm bảo khả năng trả nợ;</w:t>
      </w:r>
    </w:p>
    <w:p w14:paraId="45951B0E"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lastRenderedPageBreak/>
        <w:t>(2) Mục đích phát hành trái phiếu là để thực hiện các chương trình, dự án đầu tư, cơ cấu lại nợ của chính doanh nghiệp hoặc mục đích phát hành trái phiếu theo quy định của pháp luật chuyên ngành. Doanh nghiệp phải nêu cụ thể mục đích phát hành tại phương án phát hành theo quy định tại Điều 13 Nghị định 153/2020/NĐ-CP và công bố thông tin cho nhà đầu tư đăng ký mua trái phiếu. Việc sử dụng vốn huy động từ phát hành trái phiếu của doanh nghiệp phải đảm bảo đúng mục đích theo phương án phát hành và nội dung công bố thông tin cho nhà đầu tư.</w:t>
      </w:r>
    </w:p>
    <w:p w14:paraId="043BC154"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(3) Đối với phát hành trái phiếu xanh, ngoài các nguyên tắc (1), (2) nêu trên thì nguồn vốn từ phát hành trái phiếu phải được hạch toán, quản lý theo dõi riêng và giải ngân cho các dự án thuộc lĩnh vực bảo vệ môi trường, dự án mang lại lợi ích về môi trường theo phương án phát hành đã được phê duyệt.</w:t>
      </w:r>
    </w:p>
    <w:p w14:paraId="037473CF"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(4) Đối với trái phiếu đã phát hành tại thị trường trong nước, doanh nghiệp chỉ được thay đổi điều kiện, điều khoản của trái phiếu quy định tại Điều 6 </w:t>
      </w:r>
      <w:hyperlink r:id="rId48" w:tgtFrame="_blank" w:history="1">
        <w:r w:rsidRPr="00AC1E2D">
          <w:rPr>
            <w:rFonts w:ascii="Times New Roman" w:eastAsia="Times New Roman" w:hAnsi="Times New Roman" w:cs="Times New Roman"/>
            <w:color w:val="000000" w:themeColor="text1"/>
            <w:spacing w:val="2"/>
            <w:sz w:val="28"/>
            <w:szCs w:val="28"/>
          </w:rPr>
          <w:t>Nghị định 153/2020/NĐ-CP</w:t>
        </w:r>
      </w:hyperlink>
      <w:r w:rsidRPr="00AC1E2D">
        <w:rPr>
          <w:rFonts w:ascii="Times New Roman" w:eastAsia="Times New Roman" w:hAnsi="Times New Roman" w:cs="Times New Roman"/>
          <w:color w:val="000000" w:themeColor="text1"/>
          <w:spacing w:val="2"/>
          <w:sz w:val="28"/>
          <w:szCs w:val="28"/>
        </w:rPr>
        <w:t> khi đáp ứng các quy định sau:</w:t>
      </w:r>
    </w:p>
    <w:p w14:paraId="258B79D5"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Được cấp có thẩm quyền của doanh nghiệp phát hành thông qua;</w:t>
      </w:r>
    </w:p>
    <w:p w14:paraId="72CDAB9B"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Được số người sở hữu trái phiếu đại diện từ 65% tổng số trái phiếu cùng loại đang lưu hành trở lên chấp thuận;</w:t>
      </w:r>
    </w:p>
    <w:p w14:paraId="573D413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(5) Thông tin về việc thay đổi điều kiện, điều khoản của trái phiếu phải được doanh nghiệp phát hành công bố thông tin bất thường theo quy định.</w:t>
      </w:r>
    </w:p>
    <w:p w14:paraId="28263F3C" w14:textId="2ED71095" w:rsidR="00F66CD9" w:rsidRPr="001217D8" w:rsidRDefault="00A928B4" w:rsidP="007D724F">
      <w:pPr>
        <w:shd w:val="clear" w:color="auto" w:fill="FFFFFF"/>
        <w:spacing w:after="0" w:line="288" w:lineRule="auto"/>
        <w:ind w:firstLine="720"/>
        <w:jc w:val="both"/>
        <w:outlineLvl w:val="1"/>
        <w:rPr>
          <w:rFonts w:ascii="Times New Roman" w:eastAsia="Times New Roman" w:hAnsi="Times New Roman" w:cs="Times New Roman"/>
          <w:i/>
          <w:color w:val="000000" w:themeColor="text1"/>
          <w:spacing w:val="2"/>
          <w:sz w:val="28"/>
          <w:szCs w:val="28"/>
        </w:rPr>
      </w:pPr>
      <w:r>
        <w:rPr>
          <w:rFonts w:ascii="Times New Roman" w:eastAsia="Times New Roman" w:hAnsi="Times New Roman" w:cs="Times New Roman"/>
          <w:b/>
          <w:bCs/>
          <w:i/>
          <w:color w:val="000000" w:themeColor="text1"/>
          <w:spacing w:val="2"/>
          <w:sz w:val="28"/>
          <w:szCs w:val="28"/>
        </w:rPr>
        <w:t xml:space="preserve">2. </w:t>
      </w:r>
      <w:r w:rsidR="00041804">
        <w:rPr>
          <w:rFonts w:ascii="Times New Roman" w:eastAsia="Times New Roman" w:hAnsi="Times New Roman" w:cs="Times New Roman"/>
          <w:b/>
          <w:bCs/>
          <w:i/>
          <w:color w:val="000000" w:themeColor="text1"/>
          <w:spacing w:val="2"/>
          <w:sz w:val="28"/>
          <w:szCs w:val="28"/>
        </w:rPr>
        <w:t>Nhà đầu tư thuộc các</w:t>
      </w:r>
      <w:r w:rsidR="00F66CD9" w:rsidRPr="001217D8">
        <w:rPr>
          <w:rFonts w:ascii="Times New Roman" w:eastAsia="Times New Roman" w:hAnsi="Times New Roman" w:cs="Times New Roman"/>
          <w:b/>
          <w:bCs/>
          <w:i/>
          <w:color w:val="000000" w:themeColor="text1"/>
          <w:spacing w:val="2"/>
          <w:sz w:val="28"/>
          <w:szCs w:val="28"/>
        </w:rPr>
        <w:t xml:space="preserve"> đối tượng </w:t>
      </w:r>
      <w:r w:rsidR="00041804">
        <w:rPr>
          <w:rFonts w:ascii="Times New Roman" w:eastAsia="Times New Roman" w:hAnsi="Times New Roman" w:cs="Times New Roman"/>
          <w:b/>
          <w:bCs/>
          <w:i/>
          <w:color w:val="000000" w:themeColor="text1"/>
          <w:spacing w:val="2"/>
          <w:sz w:val="28"/>
          <w:szCs w:val="28"/>
        </w:rPr>
        <w:t>theo quy định cụ thể như sau:.</w:t>
      </w:r>
    </w:p>
    <w:p w14:paraId="5E54B923"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Tùy thuộc vào loại trái phiếu mà đối tượng được mua sẽ khác nhau, cụ thể theo khoản 1 Điều 8 </w:t>
      </w:r>
      <w:hyperlink r:id="rId49" w:tgtFrame="_blank" w:history="1">
        <w:r w:rsidRPr="00AC1E2D">
          <w:rPr>
            <w:rFonts w:ascii="Times New Roman" w:eastAsia="Times New Roman" w:hAnsi="Times New Roman" w:cs="Times New Roman"/>
            <w:color w:val="000000" w:themeColor="text1"/>
            <w:spacing w:val="2"/>
            <w:sz w:val="28"/>
            <w:szCs w:val="28"/>
          </w:rPr>
          <w:t>Nghị định 153/2020/NĐ-CP</w:t>
        </w:r>
      </w:hyperlink>
      <w:r w:rsidRPr="00AC1E2D">
        <w:rPr>
          <w:rFonts w:ascii="Times New Roman" w:eastAsia="Times New Roman" w:hAnsi="Times New Roman" w:cs="Times New Roman"/>
          <w:color w:val="000000" w:themeColor="text1"/>
          <w:spacing w:val="2"/>
          <w:sz w:val="28"/>
          <w:szCs w:val="28"/>
        </w:rPr>
        <w:t> được sửa đổi bởi khoản 6 Điều 1 </w:t>
      </w:r>
      <w:hyperlink r:id="rId50" w:tgtFrame="_blank" w:history="1">
        <w:r w:rsidRPr="00AC1E2D">
          <w:rPr>
            <w:rFonts w:ascii="Times New Roman" w:eastAsia="Times New Roman" w:hAnsi="Times New Roman" w:cs="Times New Roman"/>
            <w:color w:val="000000" w:themeColor="text1"/>
            <w:spacing w:val="2"/>
            <w:sz w:val="28"/>
            <w:szCs w:val="28"/>
          </w:rPr>
          <w:t>Nghị định 65/2022/NĐ-CP</w:t>
        </w:r>
      </w:hyperlink>
      <w:r w:rsidRPr="00AC1E2D">
        <w:rPr>
          <w:rFonts w:ascii="Times New Roman" w:eastAsia="Times New Roman" w:hAnsi="Times New Roman" w:cs="Times New Roman"/>
          <w:color w:val="000000" w:themeColor="text1"/>
          <w:spacing w:val="2"/>
          <w:sz w:val="28"/>
          <w:szCs w:val="28"/>
        </w:rPr>
        <w:t> quy định về đối tượng được mua trái phiếu gồm:</w:t>
      </w:r>
    </w:p>
    <w:p w14:paraId="734F537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Đối với trái phiếu không chuyển đổi không kèm chứng quyền: đối tượng mua trái phiếu là nhà đầu tư chứng khoán chuyên nghiệp theo quy định của pháp luật chứng khoán.</w:t>
      </w:r>
    </w:p>
    <w:p w14:paraId="4542280B"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Đối với trái phiếu chuyển đổi và trái phiếu kèm chứng quyền: đối tượng mua trái phiếu là nhà đầu tư chứng khoán chuyên nghiệp, nhà đầu tư chiến lược, trong đó số lượng nhà đầu tư chiến lược phải đảm bảo dưới 100 nhà đầu tư.</w:t>
      </w:r>
    </w:p>
    <w:p w14:paraId="1606F4CE"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b/>
          <w:bCs/>
          <w:color w:val="000000" w:themeColor="text1"/>
          <w:spacing w:val="2"/>
          <w:sz w:val="28"/>
          <w:szCs w:val="28"/>
        </w:rPr>
        <w:t>Lưu ý:</w:t>
      </w:r>
      <w:r w:rsidRPr="00AC1E2D">
        <w:rPr>
          <w:rFonts w:ascii="Times New Roman" w:eastAsia="Times New Roman" w:hAnsi="Times New Roman" w:cs="Times New Roman"/>
          <w:color w:val="000000" w:themeColor="text1"/>
          <w:spacing w:val="2"/>
          <w:sz w:val="28"/>
          <w:szCs w:val="28"/>
        </w:rPr>
        <w:t> Theo quy định tại Điều 11 </w:t>
      </w:r>
      <w:hyperlink r:id="rId51" w:tgtFrame="_blank" w:history="1">
        <w:r w:rsidRPr="00AC1E2D">
          <w:rPr>
            <w:rFonts w:ascii="Times New Roman" w:eastAsia="Times New Roman" w:hAnsi="Times New Roman" w:cs="Times New Roman"/>
            <w:color w:val="000000" w:themeColor="text1"/>
            <w:spacing w:val="2"/>
            <w:sz w:val="28"/>
            <w:szCs w:val="28"/>
          </w:rPr>
          <w:t>Luật Chứng khoán 2019</w:t>
        </w:r>
      </w:hyperlink>
      <w:r w:rsidRPr="00AC1E2D">
        <w:rPr>
          <w:rFonts w:ascii="Times New Roman" w:eastAsia="Times New Roman" w:hAnsi="Times New Roman" w:cs="Times New Roman"/>
          <w:color w:val="000000" w:themeColor="text1"/>
          <w:spacing w:val="2"/>
          <w:sz w:val="28"/>
          <w:szCs w:val="28"/>
        </w:rPr>
        <w:t> quy định nhà đầu tư chứng khoán chuyên nghiệp là nhà đầu tư có năng lực tài chính hoặc có trình độ chuyên môn về chứng khoán bao gồm:</w:t>
      </w:r>
    </w:p>
    <w:p w14:paraId="23EA4F44"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lastRenderedPageBreak/>
        <w:t>- Ngân hàng thương mại, chi nhánh ngân hàng nước ngoài, công ty tài chính, tổ chức kinh doanh bảo hiểm, công ty chứng khoán, công ty quản lý quỹ đầu tư chứng khoán, công ty đầu tư chứng khoán, quỹ đầu tư chứng khoán,...;</w:t>
      </w:r>
    </w:p>
    <w:p w14:paraId="6EEFA1AB"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Công ty có vốn điều lệ đã góp đạt trên 100 tỷ đồng hoặc tổ chức niêm yết, tổ chức đăng ký giao dịch;</w:t>
      </w:r>
    </w:p>
    <w:p w14:paraId="7A19FF46"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Người có chứng chỉ hành nghề chứng khoán;</w:t>
      </w:r>
    </w:p>
    <w:p w14:paraId="52631ED5"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Cá nhân nắm giữ danh mục chứng khoán niêm yết, đăng ký giao dịch có giá trị tối thiểu là 02 tỷ đồng theo xác nhận của công ty chứng khoán tại thời điểm cá nhân đó được xác định tư cách là nhà đầu tư chứng khoán chuyên nghiệp;</w:t>
      </w:r>
    </w:p>
    <w:p w14:paraId="3FA2BBB4" w14:textId="3487487E" w:rsidR="00F66CD9"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Cá nhân có thu nhập chịu thuế năm gần nhất tối thiểu là 01 tỷ đồng tính đến thời điểm cá nhân đó được xác định tư cách là nhà đầu tư chứng khoán chuyên nghiệp theo hồ sơ khai thuế đã nộp cho cơ quan thuế hoặc chứng từ khấu trừ thuế của tổ chức, cá nhân chi trả.</w:t>
      </w:r>
    </w:p>
    <w:p w14:paraId="44F4D560" w14:textId="4136FEC5" w:rsidR="00DB4845" w:rsidRPr="00DB4845" w:rsidRDefault="00A928B4" w:rsidP="007D724F">
      <w:pPr>
        <w:shd w:val="clear" w:color="auto" w:fill="FFFFFF"/>
        <w:spacing w:after="0" w:line="288" w:lineRule="auto"/>
        <w:ind w:firstLine="720"/>
        <w:jc w:val="both"/>
        <w:rPr>
          <w:rFonts w:ascii="Times New Roman" w:eastAsia="Times New Roman" w:hAnsi="Times New Roman" w:cs="Times New Roman"/>
          <w:b/>
          <w:i/>
          <w:color w:val="000000" w:themeColor="text1"/>
          <w:spacing w:val="2"/>
          <w:sz w:val="28"/>
          <w:szCs w:val="28"/>
        </w:rPr>
      </w:pPr>
      <w:r>
        <w:rPr>
          <w:rFonts w:ascii="Times New Roman" w:eastAsia="Times New Roman" w:hAnsi="Times New Roman" w:cs="Times New Roman"/>
          <w:b/>
          <w:i/>
          <w:color w:val="000000" w:themeColor="text1"/>
          <w:spacing w:val="2"/>
          <w:sz w:val="28"/>
          <w:szCs w:val="28"/>
        </w:rPr>
        <w:t>3. Quy định về c</w:t>
      </w:r>
      <w:r w:rsidR="00DB4845" w:rsidRPr="00DB4845">
        <w:rPr>
          <w:rFonts w:ascii="Times New Roman" w:eastAsia="Times New Roman" w:hAnsi="Times New Roman" w:cs="Times New Roman"/>
          <w:b/>
          <w:i/>
          <w:color w:val="000000" w:themeColor="text1"/>
          <w:spacing w:val="2"/>
          <w:sz w:val="28"/>
          <w:szCs w:val="28"/>
        </w:rPr>
        <w:t xml:space="preserve">hào bán, giao dịch trái phiếu </w:t>
      </w:r>
    </w:p>
    <w:tbl>
      <w:tblPr>
        <w:tblW w:w="0" w:type="auto"/>
        <w:tblCellMar>
          <w:top w:w="75" w:type="dxa"/>
          <w:left w:w="75" w:type="dxa"/>
          <w:bottom w:w="75" w:type="dxa"/>
          <w:right w:w="75" w:type="dxa"/>
        </w:tblCellMar>
        <w:tblLook w:val="04A0" w:firstRow="1" w:lastRow="0" w:firstColumn="1" w:lastColumn="0" w:noHBand="0" w:noVBand="1"/>
      </w:tblPr>
      <w:tblGrid>
        <w:gridCol w:w="9360"/>
      </w:tblGrid>
      <w:tr w:rsidR="00021A86" w:rsidRPr="00AC1E2D" w14:paraId="3EDB404E" w14:textId="77777777" w:rsidTr="00F66CD9">
        <w:tc>
          <w:tcPr>
            <w:tcW w:w="0" w:type="auto"/>
            <w:vAlign w:val="center"/>
            <w:hideMark/>
          </w:tcPr>
          <w:p w14:paraId="4381C3D3" w14:textId="77777777" w:rsidR="00F66CD9" w:rsidRPr="00DB4845"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kern w:val="36"/>
                <w:sz w:val="28"/>
                <w:szCs w:val="28"/>
              </w:rPr>
            </w:pPr>
            <w:r w:rsidRPr="00DB4845">
              <w:rPr>
                <w:rFonts w:ascii="Times New Roman" w:eastAsia="Times New Roman" w:hAnsi="Times New Roman" w:cs="Times New Roman"/>
                <w:color w:val="000000" w:themeColor="text1"/>
                <w:spacing w:val="2"/>
                <w:kern w:val="36"/>
                <w:sz w:val="28"/>
                <w:szCs w:val="28"/>
              </w:rPr>
              <w:t>Điểm mới Nghị định 65/2022/NĐ-CP về việc sửa đổi, bổ sung Nghị định 153/2020/NĐ-CP</w:t>
            </w:r>
          </w:p>
          <w:p w14:paraId="443B6F45"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Từ ngày 16/9/2022, </w:t>
            </w:r>
            <w:hyperlink r:id="rId52" w:tgtFrame="_blank" w:history="1">
              <w:r w:rsidRPr="00AC1E2D">
                <w:rPr>
                  <w:rFonts w:ascii="Times New Roman" w:eastAsia="Times New Roman" w:hAnsi="Times New Roman" w:cs="Times New Roman"/>
                  <w:color w:val="000000" w:themeColor="text1"/>
                  <w:spacing w:val="2"/>
                  <w:sz w:val="28"/>
                  <w:szCs w:val="28"/>
                </w:rPr>
                <w:t>Nghị định 65/2022/NĐ-CP</w:t>
              </w:r>
            </w:hyperlink>
            <w:r w:rsidRPr="00AC1E2D">
              <w:rPr>
                <w:rFonts w:ascii="Times New Roman" w:eastAsia="Times New Roman" w:hAnsi="Times New Roman" w:cs="Times New Roman"/>
                <w:color w:val="000000" w:themeColor="text1"/>
                <w:spacing w:val="2"/>
                <w:sz w:val="28"/>
                <w:szCs w:val="28"/>
              </w:rPr>
              <w:t> sửa đổi, bổ sung một số Điều của </w:t>
            </w:r>
            <w:hyperlink r:id="rId53" w:tgtFrame="_blank" w:history="1">
              <w:r w:rsidRPr="00AC1E2D">
                <w:rPr>
                  <w:rFonts w:ascii="Times New Roman" w:eastAsia="Times New Roman" w:hAnsi="Times New Roman" w:cs="Times New Roman"/>
                  <w:color w:val="000000" w:themeColor="text1"/>
                  <w:spacing w:val="2"/>
                  <w:sz w:val="28"/>
                  <w:szCs w:val="28"/>
                </w:rPr>
                <w:t>Nghị định 153/2020/NĐ-CP</w:t>
              </w:r>
            </w:hyperlink>
            <w:r w:rsidRPr="00AC1E2D">
              <w:rPr>
                <w:rFonts w:ascii="Times New Roman" w:eastAsia="Times New Roman" w:hAnsi="Times New Roman" w:cs="Times New Roman"/>
                <w:color w:val="000000" w:themeColor="text1"/>
                <w:spacing w:val="2"/>
                <w:sz w:val="28"/>
                <w:szCs w:val="28"/>
              </w:rPr>
              <w:t> về chào bán, giao dịch trái phiếu doanh nghiệp riêng lẻ tại thị trường trong nước và chào bán trái phiếu doanh nghiệp ra thị trường quốc tế bắt đầu có hiệu lực thi hành. Theo đó, có những nội dung mới nổi bật sau đây:</w:t>
            </w:r>
          </w:p>
          <w:p w14:paraId="37287E49" w14:textId="7600D9E9" w:rsidR="00F66CD9" w:rsidRPr="00DB4845" w:rsidRDefault="00F66CD9" w:rsidP="007D724F">
            <w:pPr>
              <w:shd w:val="clear" w:color="auto" w:fill="FFFFFF"/>
              <w:spacing w:after="0" w:line="288" w:lineRule="auto"/>
              <w:ind w:firstLine="720"/>
              <w:jc w:val="both"/>
              <w:outlineLvl w:val="1"/>
              <w:rPr>
                <w:rFonts w:ascii="Times New Roman" w:eastAsia="Times New Roman" w:hAnsi="Times New Roman" w:cs="Times New Roman"/>
                <w:i/>
                <w:color w:val="000000" w:themeColor="text1"/>
                <w:spacing w:val="2"/>
                <w:sz w:val="28"/>
                <w:szCs w:val="28"/>
              </w:rPr>
            </w:pPr>
            <w:r w:rsidRPr="00DB4845">
              <w:rPr>
                <w:rFonts w:ascii="Times New Roman" w:eastAsia="Times New Roman" w:hAnsi="Times New Roman" w:cs="Times New Roman"/>
                <w:bCs/>
                <w:i/>
                <w:color w:val="000000" w:themeColor="text1"/>
                <w:spacing w:val="2"/>
                <w:sz w:val="28"/>
                <w:szCs w:val="28"/>
              </w:rPr>
              <w:t>Bổ sung nhiều quy định mới về trái phiếu doanh nghiệp</w:t>
            </w:r>
          </w:p>
          <w:p w14:paraId="278196A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(i) Đối với trái phiếu đã phát hành tại thị trường trong nước, doanh nghiệp chỉ được thay đổi điều kiện, điều khoản của trái phiếu quy định tại Điều 6 của Nghị định này khi đáp ứng các quy định sau:</w:t>
            </w:r>
          </w:p>
          <w:p w14:paraId="317D603B"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Được cấp có thẩm quyền của doanh nghiệp phát hành thông qua.</w:t>
            </w:r>
          </w:p>
          <w:p w14:paraId="31E18FED"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Được số người sở hữu trái phiếu đại diện từ 65% tổng số trái phiếu cùng loại đang lưu hành trở lên chấp thuận.</w:t>
            </w:r>
          </w:p>
          <w:p w14:paraId="355B3E6E"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(ii) Thông tin về việc thây đổi điều kiện, điều khoản của trái phiếu phải được doanh nghiệp phát hành công bố thông tin bất thường theo quy định tại Điều 22 của Nghị định này.</w:t>
            </w:r>
          </w:p>
          <w:p w14:paraId="0876D8CE"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xml:space="preserve">(iii) Trường hợp doanh nghiệp chào bán không thành công hoặc hủy đợt chào bán trái phiếu, chậm nhất 05 ngày làm việc kể từ ngày kết thúc việc phân </w:t>
            </w:r>
            <w:r w:rsidRPr="00AC1E2D">
              <w:rPr>
                <w:rFonts w:ascii="Times New Roman" w:eastAsia="Times New Roman" w:hAnsi="Times New Roman" w:cs="Times New Roman"/>
                <w:color w:val="000000" w:themeColor="text1"/>
                <w:spacing w:val="2"/>
                <w:sz w:val="28"/>
                <w:szCs w:val="28"/>
              </w:rPr>
              <w:lastRenderedPageBreak/>
              <w:t>phối trái phiếu, doanh nghiệp công bố thông tin và gửi nội dung công bố thông tin đến Sở giao dịch chứng khoán.</w:t>
            </w:r>
          </w:p>
          <w:p w14:paraId="52681E51"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(iv) Trong vòng 24 giờ kể từ khi xảy ra một trong các sự kiện sau đây, doanh nghiệp phát hành trái phiếu phải công bố thông tin bất thường cho nhà đầu tư sở hữu trái phiếu và gửi nội dung công bố thông tin cho Sở Giao dịch Chứng khoán:</w:t>
            </w:r>
          </w:p>
          <w:p w14:paraId="7F5FEE33"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Thay đổi điều kiện, điều khoản của trái phiếu đã phát hành, thay đổi đại diện người sở hữu trái phiếu.</w:t>
            </w:r>
          </w:p>
          <w:p w14:paraId="1E42267F"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Phải thực hiện mua lại trái phiếu trước hạn bắt buộc.</w:t>
            </w:r>
          </w:p>
          <w:p w14:paraId="6ACB954D"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Khi nhận được quyết định của cơ quan có thẩm quyền về việc xử phạt vi phạm hành chính trong lĩnh vực chứng khoán và thị trường chứng khoán hoặc bị xử lý vi phạm pháp luật theo quy định.</w:t>
            </w:r>
          </w:p>
          <w:p w14:paraId="1F2B8989"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(v) Trường hợp doanh nghiệp chào bán không thành công hoặc hủy đợt chào bán trái phiếu, chậm nhất 05 ngày làm việc kể từ ngày kết thúc việc phân phối trái phiếu, doanh nghiệp công bố thông tin và gửi nội dung công bố thông tin đến Sở giao dịch chứng khoán.</w:t>
            </w:r>
          </w:p>
          <w:p w14:paraId="6448093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(vi) Thêm các trách nhiệm của doanh nghiệp phát hành trái phiếu, bao gồm:</w:t>
            </w:r>
          </w:p>
          <w:p w14:paraId="3A97330A"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Có trách nhiệm giải thích cho nhà đầu tư các thông tin liên quan đến phương án phát hành, các rủi ro pháp lý, rủi ro đầu tư, rủi ro sử dụng vốn, quyền, lợi ích, trách nhiệm pháp lý của doanh nghiệp phát hành và của nhà đầu tư.</w:t>
            </w:r>
          </w:p>
          <w:p w14:paraId="558DE43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Doanh nghiệp phát hành phải mua lại trái phiếu trước hạn bắt buộc theo quy định tại khoản 3 Điều 7 Nghị định này.</w:t>
            </w:r>
          </w:p>
          <w:p w14:paraId="3F790D2A"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(vii) Bổ sung trách nhiệm của Tổng công ty lưu ký và bù trừ chứng khoán Việt Nam, bao gồm:</w:t>
            </w:r>
          </w:p>
          <w:p w14:paraId="21FACF6A"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Tuân thủ quy định về việc đăng ký, lưu ký trái phiếu, chuyển quyền sở hữu và thanh toán giao dịch trái phiếu theo quy định tại Nghị định này và pháp luật chứng khoán.</w:t>
            </w:r>
          </w:p>
          <w:p w14:paraId="2DF3D01A"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Giám sát hoạt động đăng ký, lưu ký và thanh toán giao dịch trái phiếu theo quy định của pháp luật chứng khoán, trong đó bao gồm việc thành viên lưu ký cung cấp dịch vụ theo quy định tại Nghị định này và hướng dẫn của Bộ Tài chính.</w:t>
            </w:r>
          </w:p>
          <w:p w14:paraId="7D8350EE"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Thực hiện chế độ báo cáo theo quy định tại Nghị định này.</w:t>
            </w:r>
          </w:p>
          <w:p w14:paraId="31C4B259"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lastRenderedPageBreak/>
              <w:t>- Trường hợp phát hiện có vi phạm trong việc đăng ký, lưu ký, chuyển quyền sở hữu đối với trái phiếu doanh nghiệp riêng lẻ, có văn bản yêu cầu cá nhân, tổ chức có liên quan giải trình, cung cấp bổ sung thông tin hoặc báo cáo Ủy ban Chứng khoán Nhà nước để xem xét, xử lý theo mức độ vi phạm.</w:t>
            </w:r>
          </w:p>
          <w:p w14:paraId="61FACBC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Ban hành Quy chế đăng ký, lưu ký và thanh toán trái phiếu doanh nghiệp riêng lẻ sau khi được Ủy ban Chứng khoán Nhà nước chấp thuận.</w:t>
            </w:r>
          </w:p>
          <w:p w14:paraId="6D68B47C"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(viii) Bổ sung quy định các bộ, ngành có liên quan theo chức năng, nhiệm vụ được giao, phối hợp kiểm tra, giám sát việc chào bán, giao dịch và cung cấp dịch vụ trên thị trường trái phiếu doanh nghiệp theo quy định tại Nghị định này và quy định của pháp luật có liên quan.</w:t>
            </w:r>
          </w:p>
          <w:p w14:paraId="64E0EA69" w14:textId="19B4B403" w:rsidR="00F66CD9" w:rsidRPr="00DB4845" w:rsidRDefault="00F66CD9" w:rsidP="007D724F">
            <w:pPr>
              <w:shd w:val="clear" w:color="auto" w:fill="FFFFFF"/>
              <w:spacing w:after="0" w:line="288" w:lineRule="auto"/>
              <w:ind w:firstLine="720"/>
              <w:jc w:val="both"/>
              <w:outlineLvl w:val="1"/>
              <w:rPr>
                <w:rFonts w:ascii="Times New Roman" w:eastAsia="Times New Roman" w:hAnsi="Times New Roman" w:cs="Times New Roman"/>
                <w:i/>
                <w:color w:val="000000" w:themeColor="text1"/>
                <w:spacing w:val="2"/>
                <w:sz w:val="28"/>
                <w:szCs w:val="28"/>
              </w:rPr>
            </w:pPr>
            <w:r w:rsidRPr="00DB4845">
              <w:rPr>
                <w:rFonts w:ascii="Times New Roman" w:eastAsia="Times New Roman" w:hAnsi="Times New Roman" w:cs="Times New Roman"/>
                <w:bCs/>
                <w:i/>
                <w:color w:val="000000" w:themeColor="text1"/>
                <w:spacing w:val="2"/>
                <w:sz w:val="28"/>
                <w:szCs w:val="28"/>
              </w:rPr>
              <w:t>Sửa đổi nhiều nội dung của Nghị định 153/2020/NĐ-CP</w:t>
            </w:r>
          </w:p>
          <w:p w14:paraId="238DB79B" w14:textId="77777777" w:rsidR="00F66CD9" w:rsidRPr="00DB4845"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(i) Giải thích rõ khái niệm trái phiếu có bảo đảm hơn Nghị định 153/2020/NĐ-CP. Cụ thể: “Trái phiếu có bảo đảm” là loại hình trái phiếu được bảo đảm thanh toán toàn bộ hoặc một phần lãi, gốc bằng tài sản của doanh nghiệp phát hành hoặc tài sản của bên thứ ba theo quy định của pháp luật về bảo đảm thực hiện nghĩa vụ; hoặc được bảo lãnh thanh toán</w:t>
            </w:r>
            <w:r w:rsidRPr="00DB4845">
              <w:rPr>
                <w:rFonts w:ascii="Times New Roman" w:eastAsia="Times New Roman" w:hAnsi="Times New Roman" w:cs="Times New Roman"/>
                <w:color w:val="000000" w:themeColor="text1"/>
                <w:spacing w:val="2"/>
                <w:sz w:val="28"/>
                <w:szCs w:val="28"/>
              </w:rPr>
              <w:t> </w:t>
            </w:r>
            <w:r w:rsidRPr="00DB4845">
              <w:rPr>
                <w:rFonts w:ascii="Times New Roman" w:eastAsia="Times New Roman" w:hAnsi="Times New Roman" w:cs="Times New Roman"/>
                <w:bCs/>
                <w:color w:val="000000" w:themeColor="text1"/>
                <w:spacing w:val="2"/>
                <w:sz w:val="28"/>
                <w:szCs w:val="28"/>
              </w:rPr>
              <w:t>của tổ chức tín dụng, chi nhánh ngân hàng nước ngoài, tổ chức tài chính ở nước ngoài, tổ chức tài chính quốc tế</w:t>
            </w:r>
            <w:r w:rsidRPr="00DB4845">
              <w:rPr>
                <w:rFonts w:ascii="Times New Roman" w:eastAsia="Times New Roman" w:hAnsi="Times New Roman" w:cs="Times New Roman"/>
                <w:color w:val="000000" w:themeColor="text1"/>
                <w:spacing w:val="2"/>
                <w:sz w:val="28"/>
                <w:szCs w:val="28"/>
              </w:rPr>
              <w:t> theo quy định của pháp luật.</w:t>
            </w:r>
          </w:p>
          <w:p w14:paraId="0EC979A6" w14:textId="77777777" w:rsidR="00F66CD9" w:rsidRPr="00DB4845"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DB4845">
              <w:rPr>
                <w:rFonts w:ascii="Times New Roman" w:eastAsia="Times New Roman" w:hAnsi="Times New Roman" w:cs="Times New Roman"/>
                <w:color w:val="000000" w:themeColor="text1"/>
                <w:spacing w:val="2"/>
                <w:sz w:val="28"/>
                <w:szCs w:val="28"/>
              </w:rPr>
              <w:t>(ii) Mục đích phát hành trái phiếu là để thực hiện các chương trình, dự án đầu tư, </w:t>
            </w:r>
            <w:r w:rsidRPr="00DB4845">
              <w:rPr>
                <w:rFonts w:ascii="Times New Roman" w:eastAsia="Times New Roman" w:hAnsi="Times New Roman" w:cs="Times New Roman"/>
                <w:bCs/>
                <w:color w:val="000000" w:themeColor="text1"/>
                <w:spacing w:val="2"/>
                <w:sz w:val="28"/>
                <w:szCs w:val="28"/>
              </w:rPr>
              <w:t>cơ cấu lại nợ của chính doanh nghiệp</w:t>
            </w:r>
            <w:r w:rsidRPr="00DB4845">
              <w:rPr>
                <w:rFonts w:ascii="Times New Roman" w:eastAsia="Times New Roman" w:hAnsi="Times New Roman" w:cs="Times New Roman"/>
                <w:color w:val="000000" w:themeColor="text1"/>
                <w:spacing w:val="2"/>
                <w:sz w:val="28"/>
                <w:szCs w:val="28"/>
              </w:rPr>
              <w:t> hoặc mục đích phát hành trái phiếu theo quy định của pháp luật chuyên ngành.</w:t>
            </w:r>
          </w:p>
          <w:p w14:paraId="624C7B97" w14:textId="77777777" w:rsidR="00F66CD9" w:rsidRPr="00DB4845"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DB4845">
              <w:rPr>
                <w:rFonts w:ascii="Times New Roman" w:eastAsia="Times New Roman" w:hAnsi="Times New Roman" w:cs="Times New Roman"/>
                <w:color w:val="000000" w:themeColor="text1"/>
                <w:spacing w:val="2"/>
                <w:sz w:val="28"/>
                <w:szCs w:val="28"/>
              </w:rPr>
              <w:t>(iii) Trái phiếu chào bán tại thị trường trong nước, mệnh giá là 100.000.000 đồng Việt Nam hoặc bội số của 100.000.000 đồng Việt Nam (trước đây, tại Nghị định 153/2020/NĐ-CP là 100.000 đồng).</w:t>
            </w:r>
          </w:p>
          <w:p w14:paraId="29B6CD26"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i/>
                <w:iCs/>
                <w:color w:val="000000" w:themeColor="text1"/>
                <w:spacing w:val="2"/>
                <w:sz w:val="28"/>
                <w:szCs w:val="28"/>
              </w:rPr>
              <w:t>Điểm mới Nghị định Nghị định 65/2022/NĐ-CP</w:t>
            </w:r>
          </w:p>
          <w:p w14:paraId="64E903D1"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(iv) Sửa đổi, bổ sung quy định doanh nghiệp mua lại trái phiếu trước hạn, hoán đổi trái phiếu. Cụ thể như sau:</w:t>
            </w:r>
          </w:p>
          <w:p w14:paraId="5A446109"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Doanh nghiệp phát hành được mua lại trước hạn hoặc hoán đổi trái phiếu. Riêng đối với mua lại trước hạn trái phiếu chào bán ra thị trường quốc tế, khi thực hiện phải tuân thủ quy định về quản lý ngoại hối của Ngân hàng Nhà nước Việt Nam. Trái phiếu bị hủy bỏ sau khi được mua lại.</w:t>
            </w:r>
          </w:p>
          <w:p w14:paraId="0C4B76A1"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xml:space="preserve">- Tổ chức, cá nhân có thẩm quyền phê duyệt, chấp thuận phương án phát hành trái phiếu là cấp có thẩm quyền phê duyệt, chấp thuận phương án mua lại </w:t>
            </w:r>
            <w:r w:rsidRPr="00AC1E2D">
              <w:rPr>
                <w:rFonts w:ascii="Times New Roman" w:eastAsia="Times New Roman" w:hAnsi="Times New Roman" w:cs="Times New Roman"/>
                <w:color w:val="000000" w:themeColor="text1"/>
                <w:spacing w:val="2"/>
                <w:sz w:val="28"/>
                <w:szCs w:val="28"/>
              </w:rPr>
              <w:lastRenderedPageBreak/>
              <w:t>trái phiếu trước hạn hoặc hoán đổi trái phiếu, ngoại trừ trường hợp bắt buộc mua lại trái phiếu trước hạn.</w:t>
            </w:r>
          </w:p>
          <w:p w14:paraId="4612C89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Các trường hợp mua lại trái phiếu trước hạn bao gồm:</w:t>
            </w:r>
          </w:p>
          <w:p w14:paraId="59A63B58"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Mua lại trước hạn theo thỏa thuận giữa doanh nghiệp phát hành và người sở hữu trái phiếu.</w:t>
            </w:r>
          </w:p>
          <w:p w14:paraId="593F8DC9" w14:textId="77777777"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Bắt buộc mua lại theo yêu cầu của nhà đầu tư khi: Doanh nghiệp phát hành vi phạm pháp luật về chào bán, giao dịch trái phiếu doanh nghiệp theo quyết định của cấp có thẩm quyền mà vi phạm đó không thể khắc phục hoặc biện pháp khắc phục không được số người sở hữu trái phiếu đại diện từ 65% tổng số trái phiếu cùng loại đang lưu hành trở lên chấp thuận. Doanh nghiệp phát hành vi phạm phương án phát hành trái phiếu mà vi phạm đó không thể khắc phục hoặc biện pháp khắc phục không được số người sở hữu trái phiếu đại diện từ 65% tổng số trái phiếu cùng loại đang lưu hành trở lên chấp thuận. Các trường hợp khác được nêu cụ thể tại phương án phát hành trái phiếu quy định tại Điều 13 Nghị định này (nếu có).</w:t>
            </w:r>
          </w:p>
          <w:p w14:paraId="762F4AA8" w14:textId="446A8E03" w:rsidR="00F66CD9" w:rsidRPr="00DB4845" w:rsidRDefault="00F66CD9" w:rsidP="007D724F">
            <w:pPr>
              <w:shd w:val="clear" w:color="auto" w:fill="FFFFFF"/>
              <w:spacing w:after="0" w:line="288" w:lineRule="auto"/>
              <w:ind w:firstLine="720"/>
              <w:jc w:val="both"/>
              <w:outlineLvl w:val="1"/>
              <w:rPr>
                <w:rFonts w:ascii="Times New Roman" w:eastAsia="Times New Roman" w:hAnsi="Times New Roman" w:cs="Times New Roman"/>
                <w:i/>
                <w:color w:val="000000" w:themeColor="text1"/>
                <w:spacing w:val="2"/>
                <w:sz w:val="28"/>
                <w:szCs w:val="28"/>
              </w:rPr>
            </w:pPr>
            <w:r w:rsidRPr="00DB4845">
              <w:rPr>
                <w:rFonts w:ascii="Times New Roman" w:eastAsia="Times New Roman" w:hAnsi="Times New Roman" w:cs="Times New Roman"/>
                <w:bCs/>
                <w:i/>
                <w:color w:val="000000" w:themeColor="text1"/>
                <w:spacing w:val="2"/>
                <w:sz w:val="28"/>
                <w:szCs w:val="28"/>
              </w:rPr>
              <w:t>Bãi bỏ một số nội dung tại Nghị định 153/2020/NĐ-CP</w:t>
            </w:r>
          </w:p>
          <w:p w14:paraId="0F500BCA" w14:textId="73AEBEF0" w:rsidR="00F66CD9" w:rsidRPr="00AC1E2D" w:rsidRDefault="00F66CD9" w:rsidP="007D724F">
            <w:pPr>
              <w:shd w:val="clear" w:color="auto" w:fill="FFFFFF"/>
              <w:spacing w:after="0" w:line="288" w:lineRule="auto"/>
              <w:ind w:firstLine="720"/>
              <w:jc w:val="both"/>
              <w:rPr>
                <w:rFonts w:ascii="Times New Roman" w:eastAsia="Times New Roman" w:hAnsi="Times New Roman" w:cs="Times New Roman"/>
                <w:color w:val="000000" w:themeColor="text1"/>
                <w:spacing w:val="2"/>
                <w:sz w:val="28"/>
                <w:szCs w:val="28"/>
              </w:rPr>
            </w:pPr>
            <w:r w:rsidRPr="00AC1E2D">
              <w:rPr>
                <w:rFonts w:ascii="Times New Roman" w:eastAsia="Times New Roman" w:hAnsi="Times New Roman" w:cs="Times New Roman"/>
                <w:color w:val="000000" w:themeColor="text1"/>
                <w:spacing w:val="2"/>
                <w:sz w:val="28"/>
                <w:szCs w:val="28"/>
              </w:rPr>
              <w:t xml:space="preserve">Bãi bỏ nội dung “Tổ chức đăng ký, lưu ký trái phiếu” là Tổng công ty Lưu ký và Bù trừ chứng khoán Việt Nam hoặc tổ chức là thành viên lưu ký của Tổng công ty </w:t>
            </w:r>
            <w:r w:rsidR="00DB4845">
              <w:rPr>
                <w:rFonts w:ascii="Times New Roman" w:eastAsia="Times New Roman" w:hAnsi="Times New Roman" w:cs="Times New Roman"/>
                <w:color w:val="000000" w:themeColor="text1"/>
                <w:spacing w:val="2"/>
                <w:sz w:val="28"/>
                <w:szCs w:val="28"/>
              </w:rPr>
              <w:t>l</w:t>
            </w:r>
            <w:r w:rsidRPr="00AC1E2D">
              <w:rPr>
                <w:rFonts w:ascii="Times New Roman" w:eastAsia="Times New Roman" w:hAnsi="Times New Roman" w:cs="Times New Roman"/>
                <w:color w:val="000000" w:themeColor="text1"/>
                <w:spacing w:val="2"/>
                <w:sz w:val="28"/>
                <w:szCs w:val="28"/>
              </w:rPr>
              <w:t xml:space="preserve">ưu ký và </w:t>
            </w:r>
            <w:r w:rsidR="00DB4845">
              <w:rPr>
                <w:rFonts w:ascii="Times New Roman" w:eastAsia="Times New Roman" w:hAnsi="Times New Roman" w:cs="Times New Roman"/>
                <w:color w:val="000000" w:themeColor="text1"/>
                <w:spacing w:val="2"/>
                <w:sz w:val="28"/>
                <w:szCs w:val="28"/>
              </w:rPr>
              <w:t>b</w:t>
            </w:r>
            <w:r w:rsidRPr="00AC1E2D">
              <w:rPr>
                <w:rFonts w:ascii="Times New Roman" w:eastAsia="Times New Roman" w:hAnsi="Times New Roman" w:cs="Times New Roman"/>
                <w:color w:val="000000" w:themeColor="text1"/>
                <w:spacing w:val="2"/>
                <w:sz w:val="28"/>
                <w:szCs w:val="28"/>
              </w:rPr>
              <w:t>ù trừ chứng khoán Việt Nam thực hiện dịch vụ đăng ký, lưu ký trái phiếu doanh nghiệp. tại khoản 7 Điều 4 của Nghị định 153/2020/NĐ-CP.</w:t>
            </w:r>
          </w:p>
          <w:p w14:paraId="6107B890" w14:textId="430893E8" w:rsidR="00F66CD9" w:rsidRPr="00AC1E2D" w:rsidRDefault="00F66CD9" w:rsidP="007D724F">
            <w:pPr>
              <w:spacing w:after="0" w:line="288" w:lineRule="auto"/>
              <w:ind w:firstLine="720"/>
              <w:jc w:val="both"/>
              <w:rPr>
                <w:rFonts w:ascii="Times New Roman" w:eastAsia="Times New Roman" w:hAnsi="Times New Roman" w:cs="Times New Roman"/>
                <w:color w:val="000000" w:themeColor="text1"/>
                <w:sz w:val="28"/>
                <w:szCs w:val="28"/>
              </w:rPr>
            </w:pPr>
          </w:p>
        </w:tc>
      </w:tr>
    </w:tbl>
    <w:p w14:paraId="3596DC2D" w14:textId="1A1ED052" w:rsidR="00A928B4" w:rsidRPr="00A928B4" w:rsidRDefault="00A928B4" w:rsidP="001D1B6F">
      <w:pPr>
        <w:pStyle w:val="ListParagraph"/>
        <w:numPr>
          <w:ilvl w:val="0"/>
          <w:numId w:val="55"/>
        </w:numPr>
        <w:spacing w:after="0" w:line="288" w:lineRule="auto"/>
        <w:jc w:val="both"/>
        <w:textAlignment w:val="baseline"/>
        <w:outlineLvl w:val="1"/>
        <w:rPr>
          <w:rFonts w:ascii="Times New Roman" w:eastAsia="Times New Roman" w:hAnsi="Times New Roman" w:cs="Times New Roman"/>
          <w:b/>
          <w:bCs/>
          <w:i/>
          <w:color w:val="000000" w:themeColor="text1"/>
          <w:sz w:val="28"/>
          <w:szCs w:val="28"/>
        </w:rPr>
      </w:pPr>
      <w:r w:rsidRPr="00A928B4">
        <w:rPr>
          <w:rFonts w:ascii="Times New Roman" w:eastAsia="Times New Roman" w:hAnsi="Times New Roman" w:cs="Times New Roman"/>
          <w:b/>
          <w:bCs/>
          <w:i/>
          <w:color w:val="000000" w:themeColor="text1"/>
          <w:sz w:val="28"/>
          <w:szCs w:val="28"/>
          <w:bdr w:val="none" w:sz="0" w:space="0" w:color="auto" w:frame="1"/>
        </w:rPr>
        <w:lastRenderedPageBreak/>
        <w:t>Những rủi ro trên thị trường trái phiếu doanh nghiệp</w:t>
      </w:r>
    </w:p>
    <w:p w14:paraId="77897379" w14:textId="5744C97C" w:rsidR="00A928B4" w:rsidRPr="00AC1E2D" w:rsidRDefault="00A928B4" w:rsidP="00A928B4">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Trong thời gian qua, mặc dù khung khổ pháp lý đã được ban hành đầy đủ, vấn đề thực thi pháp luật chưa nghiêm đã dẫn đến các vụ việc vi phạm bị xử lý. Qua công tác quản lý, giám sát, Bộ Tài chính đánh giá thị trường còn các rủi ro gắn với từng chủ thể tham gia trên thị trường.</w:t>
      </w:r>
    </w:p>
    <w:p w14:paraId="6F1FF3F2" w14:textId="50646953" w:rsidR="00A928B4" w:rsidRPr="00AC1E2D" w:rsidRDefault="00A928B4" w:rsidP="00A928B4">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Cụ thể: (i) một số doanh nghiệp đẩy mức lãi suất phát hành trái phiếu lên cao để huy động vốn dù tình hình tài chính còn yếu</w:t>
      </w:r>
      <w:r w:rsidR="00D4792C">
        <w:rPr>
          <w:rFonts w:ascii="Times New Roman" w:eastAsia="Times New Roman" w:hAnsi="Times New Roman" w:cs="Times New Roman"/>
          <w:color w:val="000000" w:themeColor="text1"/>
          <w:sz w:val="28"/>
          <w:szCs w:val="28"/>
        </w:rPr>
        <w:t xml:space="preserve"> </w:t>
      </w:r>
      <w:r w:rsidRPr="00AC1E2D">
        <w:rPr>
          <w:rFonts w:ascii="Times New Roman" w:eastAsia="Times New Roman" w:hAnsi="Times New Roman" w:cs="Times New Roman"/>
          <w:color w:val="000000" w:themeColor="text1"/>
          <w:sz w:val="28"/>
          <w:szCs w:val="28"/>
        </w:rPr>
        <w:t>(ii) nhiều nhà đầu tư cá nhân cố tình vi phạm để trở thành nhà đầu tư chuyên nghiệp để mua trái phiếu doanh nghiệp riêng lẻ hoặc góp vốn thông qua hình thức hợp đồng hợp tác đầu tư với nhà đầu tư chứng khoán chuyên nghiệp theo pháp luật dân sự</w:t>
      </w:r>
      <w:r w:rsidR="00D4792C">
        <w:rPr>
          <w:rFonts w:ascii="Times New Roman" w:eastAsia="Times New Roman" w:hAnsi="Times New Roman" w:cs="Times New Roman"/>
          <w:color w:val="000000" w:themeColor="text1"/>
          <w:sz w:val="28"/>
          <w:szCs w:val="28"/>
        </w:rPr>
        <w:t xml:space="preserve"> </w:t>
      </w:r>
      <w:r w:rsidRPr="00AC1E2D">
        <w:rPr>
          <w:rFonts w:ascii="Times New Roman" w:eastAsia="Times New Roman" w:hAnsi="Times New Roman" w:cs="Times New Roman"/>
          <w:color w:val="000000" w:themeColor="text1"/>
          <w:sz w:val="28"/>
          <w:szCs w:val="28"/>
        </w:rPr>
        <w:t>(iii) một số tổ chức cung cấp dịch vụ chưa tuân thủ quy định pháp luật, hợp thức hóa hồ sơ chào bán hoặc chào mời không đúng đối tượng nhà đầu tư đối với trái phiếu doanh nghiệp riêng lẻ.</w:t>
      </w:r>
    </w:p>
    <w:p w14:paraId="6DA8FC11" w14:textId="270985DA" w:rsidR="00100D1C" w:rsidRPr="00DB4845" w:rsidRDefault="00D4792C" w:rsidP="007D724F">
      <w:pPr>
        <w:spacing w:after="0" w:line="288" w:lineRule="auto"/>
        <w:ind w:firstLine="720"/>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
          <w:bCs/>
          <w:i/>
          <w:color w:val="000000" w:themeColor="text1"/>
          <w:sz w:val="28"/>
          <w:szCs w:val="28"/>
        </w:rPr>
        <w:lastRenderedPageBreak/>
        <w:t>5</w:t>
      </w:r>
      <w:r w:rsidR="00A928B4">
        <w:rPr>
          <w:rFonts w:ascii="Times New Roman" w:eastAsia="Times New Roman" w:hAnsi="Times New Roman" w:cs="Times New Roman"/>
          <w:b/>
          <w:bCs/>
          <w:i/>
          <w:color w:val="000000" w:themeColor="text1"/>
          <w:sz w:val="28"/>
          <w:szCs w:val="28"/>
        </w:rPr>
        <w:t xml:space="preserve">. </w:t>
      </w:r>
      <w:r w:rsidR="00DB4845" w:rsidRPr="00DB4845">
        <w:rPr>
          <w:rFonts w:ascii="Times New Roman" w:eastAsia="Times New Roman" w:hAnsi="Times New Roman" w:cs="Times New Roman"/>
          <w:b/>
          <w:bCs/>
          <w:i/>
          <w:color w:val="000000" w:themeColor="text1"/>
          <w:sz w:val="28"/>
          <w:szCs w:val="28"/>
        </w:rPr>
        <w:t>M</w:t>
      </w:r>
      <w:r w:rsidR="00100D1C" w:rsidRPr="00DB4845">
        <w:rPr>
          <w:rFonts w:ascii="Times New Roman" w:eastAsia="Times New Roman" w:hAnsi="Times New Roman" w:cs="Times New Roman"/>
          <w:b/>
          <w:bCs/>
          <w:i/>
          <w:color w:val="000000" w:themeColor="text1"/>
          <w:sz w:val="28"/>
          <w:szCs w:val="28"/>
        </w:rPr>
        <w:t>ột số lưu ý đối với doanh nghiệp phát hành, các tổ chức cung cấp dịch vụ và các nhà đầu tư</w:t>
      </w:r>
    </w:p>
    <w:p w14:paraId="7BC7EC36"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Trái phiếu doanh nghiệp là một loại sản phẩm chứng khoán xác nhận nghĩa vụ trả nợ gốc, lãi của doanh nghiệp đối với nhà đầu tư sở hữu trái phiếu. Nhà đầu tư trái phiếu sẽ được hưởng lãi suất và được doanh nghiệp trả lãi, gốc khi trái phiếu đến hạn. Thông lệ quốc tế và pháp luật của Việt Nam đều quy định trái phiếu doanh nghiệp do doanh nghiệp phát hành theo nguyên tắc tự vay, tự trả, tự chịu trách nhiệm. Trái phiếu doanh nghiệp không phải là sản phẩm tiền gửi tiết kiệm ngân hàng. Trái phiếu thường có độ rủi ro cao hơn các sản phẩm tiết kiệm ngân hàng và phần chênh lệch cao hơn so với lãi suất tiết kiệm chính là rủi ro mà nhà đầu tư chấp nhận khi mua trái phiếu doanh nghiệp.</w:t>
      </w:r>
    </w:p>
    <w:p w14:paraId="489C34A7" w14:textId="77777777" w:rsidR="00100D1C" w:rsidRPr="00D4792C" w:rsidRDefault="00100D1C" w:rsidP="007D724F">
      <w:pPr>
        <w:spacing w:after="0" w:line="288" w:lineRule="auto"/>
        <w:ind w:firstLine="720"/>
        <w:jc w:val="both"/>
        <w:rPr>
          <w:rFonts w:ascii="Times New Roman" w:eastAsia="Times New Roman" w:hAnsi="Times New Roman" w:cs="Times New Roman"/>
          <w:i/>
          <w:color w:val="000000" w:themeColor="text1"/>
          <w:sz w:val="28"/>
          <w:szCs w:val="28"/>
        </w:rPr>
      </w:pPr>
      <w:r w:rsidRPr="00D4792C">
        <w:rPr>
          <w:rFonts w:ascii="Times New Roman" w:eastAsia="Times New Roman" w:hAnsi="Times New Roman" w:cs="Times New Roman"/>
          <w:bCs/>
          <w:i/>
          <w:color w:val="000000" w:themeColor="text1"/>
          <w:sz w:val="28"/>
          <w:szCs w:val="28"/>
        </w:rPr>
        <w:t>Cần tuân thủ quy định của pháp luật</w:t>
      </w:r>
    </w:p>
    <w:p w14:paraId="2B9CB97E"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Trước các vi phạm của doanh nghiệp phát hành thời gian qua, trên thị trường xảy ra hiện tượng doanh nghiệp tăng mua lại trái phiếu, các nhà đầu tư cá nhân bán lại trái phiếu trước hạn do quan ngại doanh nghiệp không trả được nợ. Trước tình hình này, Bộ Tài chính đề nghị các chủ thể tham gia trên thị trường cần tuân thủ quy định của pháp luật và có một số lưu ý đối với doanh nghiệp phát hành, các tổ chức cung cấp dịch vụ và các nhà đầu tư.</w:t>
      </w:r>
    </w:p>
    <w:p w14:paraId="3684F3E9"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Cụ thể, đối với doanh nghiệp phát hành, với nguyên tắc trái phiếu doanh nghiệp phát hành tự vay, tự trả, tự chịu trách nhiệm về hiệu quả sử dụng vốn, doanh nghiệp phải có trách nhiệm thanh toán đầy đủ, đúng hạn lãi, gốc trái phiếu và thực hiện các cam kết với nhà đầu tư. Do đó, các doanh nghiệp phát hành có trách nhiệm phải tự cân đối dòng tiền để đảm bảo các nghĩa vụ đã cam kết với nhà đầu tư khi phát hành trái phiếu. Trường hợp có khó khăn về tình hình tài chính thì phải chủ động xây dựng phương án trả nợ cụ thể và làm việc thống nhất với các nhà đầu tư để đảm bảo quyền lợi của nhà đầu tư, đảm bảo uy tín của doanh nghiệp như: cơ cấu lại nợ, đàm phán hoán đổi trái phiếu, xử lý tài sản đảm bảo, thỏa thuận thanh toán gốc, lãi trái phiếu bằng tài sản khác của doanh nghiệp, trường hợp không thỏa thuận được sẽ xử lý theo quyết định của tòa án.</w:t>
      </w:r>
    </w:p>
    <w:p w14:paraId="258E0305"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Các tổ chức tư vấn, đại lý phát hành, đại lý lưu ký, chuyển nhượng trái phiếu và các tổ chức cung cấp dịch vụ khác có trách nhiệm phối hợp với doanh nghiệp phát hành và nhà đầu tư để đảm bảo các nghĩa vụ đã ký kết cũng như đảm bảo uy tín khi cung cấp dịch vụ trên thị trường.</w:t>
      </w:r>
    </w:p>
    <w:p w14:paraId="506B823C"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lastRenderedPageBreak/>
        <w:t>Thị trường trái phiếu doanh nghiệp vẫn là thị trường tiềm năng khi nhu cầu vốn của các doanh nghiệp trong thời gian tới cho phát triển sản xuất kinh doanh là rất lớn. Do đó, quan điểm của Chính phủ là tiếp tục phát triển thị trường hoạt động an toàn, lành mạnh và minh bạch. Do đó, các chủ thể tham gia thị trường trái phiếu doanh nghiệp cần tuân thủ quy định pháp luật.</w:t>
      </w:r>
    </w:p>
    <w:p w14:paraId="477029D6" w14:textId="77777777" w:rsidR="00100D1C" w:rsidRPr="00AC1E2D" w:rsidRDefault="00100D1C" w:rsidP="007D724F">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Ngày 16/9/2022, Chính phủ đã ban hành Nghị định số 65/2022/NĐ-CP bổ sung các quy định để sàng lọc nhà đầu tư chứng khoán chuyên nghiệp, hạn chế việc nhà đầu tư nhỏ lẻ không có năng lực tham gia thị trường; đây cũng chính là các quy định để hạn chế nhà đầu tư cá nhân tiếp cận những rủi ro của trái phiếu doanh nghiệp khi không có khả năng phân tích, đánh giá và cũng là các quy định để bảo vệ nhà đầu tư cá nhân nhỏ, lẻ. Đồng thời, Nghị định cũng tăng cường trách nhiệm và nghĩa vụ của doanh nghiệp phát hành trong việc tuân thủ phương án và hồ sơ chào bán, yêu cầu chế độ công bố thông tin, làm rõ trách nhiệm của các tổ chức cung cấp dịch vụ trên thị trường, hoàn thiện cơ chế quản lý giám sát và trách nhiệm thanh, kiểm tra của cơ quan quản lý.</w:t>
      </w:r>
    </w:p>
    <w:p w14:paraId="1F6B4938" w14:textId="0E3EA4BB" w:rsidR="00D4792C" w:rsidRDefault="00100D1C" w:rsidP="00D4792C">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Cơ quan quản lý sẽ tiếp tục nghiên cứu, hoàn thiện khung pháp lý và tăng cường hiệu quả kiểm tra, giám sát. Trước mắt, việc triển khai Nghị định số 65/2022/NĐ-CP cùng với các giải pháp xử lý nghiêm các vi phạm của thị trường trái phiếu doanh nghiệp vừa qua sẽ giúp thị trường điều chỉnh hướng tới thị trường hoạt động hiệu quả hơn.</w:t>
      </w:r>
    </w:p>
    <w:p w14:paraId="14424000" w14:textId="6DC93B14" w:rsidR="00D4792C" w:rsidRPr="00D4792C" w:rsidRDefault="00D4792C" w:rsidP="00D4792C">
      <w:pPr>
        <w:pStyle w:val="ListParagraph"/>
        <w:numPr>
          <w:ilvl w:val="1"/>
          <w:numId w:val="44"/>
        </w:numPr>
        <w:spacing w:after="0" w:line="288" w:lineRule="auto"/>
        <w:ind w:left="990" w:hanging="270"/>
        <w:jc w:val="both"/>
        <w:rPr>
          <w:rFonts w:ascii="Times New Roman" w:eastAsia="Times New Roman" w:hAnsi="Times New Roman" w:cs="Times New Roman"/>
          <w:b/>
          <w:i/>
          <w:color w:val="000000" w:themeColor="text1"/>
          <w:sz w:val="28"/>
          <w:szCs w:val="28"/>
        </w:rPr>
      </w:pPr>
      <w:bookmarkStart w:id="9" w:name="_Hlk135993128"/>
      <w:r w:rsidRPr="00D4792C">
        <w:rPr>
          <w:rFonts w:ascii="Times New Roman" w:eastAsia="Times New Roman" w:hAnsi="Times New Roman" w:cs="Times New Roman"/>
          <w:b/>
          <w:i/>
          <w:color w:val="000000" w:themeColor="text1"/>
          <w:sz w:val="28"/>
          <w:szCs w:val="28"/>
        </w:rPr>
        <w:t>Kiến nghị</w:t>
      </w:r>
    </w:p>
    <w:p w14:paraId="3CB9655F" w14:textId="07F3A763" w:rsidR="00BD22B3" w:rsidRPr="00F55A27" w:rsidRDefault="00D4792C" w:rsidP="00BD22B3">
      <w:pPr>
        <w:spacing w:after="0" w:line="288" w:lineRule="auto"/>
        <w:ind w:firstLine="720"/>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
          <w:bCs/>
          <w:i/>
          <w:color w:val="000000" w:themeColor="text1"/>
          <w:sz w:val="28"/>
          <w:szCs w:val="28"/>
        </w:rPr>
        <w:t xml:space="preserve">6.1. </w:t>
      </w:r>
      <w:r w:rsidR="00BD22B3" w:rsidRPr="00F55A27">
        <w:rPr>
          <w:rFonts w:ascii="Times New Roman" w:eastAsia="Times New Roman" w:hAnsi="Times New Roman" w:cs="Times New Roman"/>
          <w:b/>
          <w:bCs/>
          <w:i/>
          <w:color w:val="000000" w:themeColor="text1"/>
          <w:sz w:val="28"/>
          <w:szCs w:val="28"/>
        </w:rPr>
        <w:t>Hoàn thiện khung pháp lý về chào bán, giao dịch TPDN</w:t>
      </w:r>
    </w:p>
    <w:p w14:paraId="2F72BFDC" w14:textId="77777777" w:rsidR="00BD22B3" w:rsidRPr="00AC1E2D" w:rsidRDefault="00BD22B3" w:rsidP="00BD22B3">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 xml:space="preserve">Thời gian qua, thị trường trái phiếu doanh nghiệp trong nước đã từng bước phát triển để trở thành kênh huy động vốn trung và dài hạn quan trọng cho các doanh nghiệp và nền kinh tế, qua đó hỗ trợ giảm áp lực lên kênh tín dụng ngân hàng. Trong quá trình phát triển, thị trường đã phát sinh những rủi ro tiềm ẩn, các cơ quan quản lý và Bộ Tài chính đã theo sát diễn biến thị trường để hoàn thiện chính sách. Theo đó, khung pháp lý về chào bán và giao dịch trái phiếu doanh nghiệp đã được Quốc hội, Chính phủ quan tâm ban hành đầy đủ từ cấp Luật, Nghị định đến các Thông tư hướng dẫn của Bộ Tài chính. Tại Luật Chứng khoán, Luật Doanh nghiệp, có 02 loại trái phiếu là trái phiếu phát hành ra công chúng và trái phiếu phát hành riêng lẻ. Trong đó, từ năm 2021, 2 phương thức phát hành trái phiếu được phân biệt cụ thể: trái phiếu phát hành ra công chúng được chào bán cho mọi nhà đầu tư và chỉ được </w:t>
      </w:r>
      <w:r w:rsidRPr="00AC1E2D">
        <w:rPr>
          <w:rFonts w:ascii="Times New Roman" w:eastAsia="Times New Roman" w:hAnsi="Times New Roman" w:cs="Times New Roman"/>
          <w:color w:val="000000" w:themeColor="text1"/>
          <w:sz w:val="28"/>
          <w:szCs w:val="28"/>
        </w:rPr>
        <w:lastRenderedPageBreak/>
        <w:t>chào bán sau khi Ủy ban Chứng khoán Nhà nước cấp phép (thực hiện theo Luật Chứng khoán và Nghị định 155/2020/NĐ-CP); trái phiếu phát hành riêng lẻ chỉ được chào bán và giao dịch giữa các nhà đầu tư chứng khoán chuyên nghiệp, là các nhà đầu tư có kiến thức, kinh nghiệm và tài sản để đầu tư vào sản phảm có rủi ro cao hơn trái phiếu phát hành ra công chúng (thực hiện theo Nghị định 153/2020/NĐ-CP, Nghị định 65/2022/NĐ-CP). Song song với việc hoàn thiện khung pháp lý, Bộ Tài chính thường xuyên tuyên truyền về trái phiếu doanh nghiệp, làm rõ đặc điểm của sản phẩm này khác với sản phẩm tài chính của các NHTM như tiền gửi tiết kiệm, chứng chỉ tiền gửi.</w:t>
      </w:r>
    </w:p>
    <w:p w14:paraId="3EC52779" w14:textId="77777777" w:rsidR="00BD22B3" w:rsidRPr="00AC1E2D" w:rsidRDefault="00BD22B3" w:rsidP="00BD22B3">
      <w:pPr>
        <w:spacing w:after="0" w:line="288" w:lineRule="auto"/>
        <w:ind w:firstLine="720"/>
        <w:jc w:val="both"/>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Tuy nhiên, sự phát triển nhanh của thị trường trái phiếu doanh nghiệp cũng đã xuất hiện một số tồn tại như có doanh nghiệp phát hành khối lượng lớn, lãi suất cao trong khi tình hình tài chính hạn chế. Một số tổ chức cung cấp dịch vụ không đảm bảo chất lượng dịch vụ. Một số nhà đầu tư cá nhân chỉ quan tâm đến lãi suất, không đánh giá đầy đủ đặc điểm, bản chất của trái phiếu doanh nghiệp, một bộ phận nhà đầu tư cố tình vi phạm để trở thành nhà đầu tư chứng khoán chuyên nghiệp. Theo đó, hiện tượng các nhà đầu tư cá nhân không phải là nhà đầu tư chứng khoán chuyên nghiệp mua trái phiếu doanh nghiệp phát hành riêng lẻ. Trước thực trạng này, từ năm 2019 đến nay, Bộ Tài chính đã thường xuyên thông tin về thị trường trái phiếu doanh nghiệp, ban hành 17 thông cáo báo chí, trong đó đã có các cảnh báo đến các doanh nghiệp phát hành, các chủ thể tham gia thị trường và nhà đầu tư cá nhân về các rủi ro cần lưu ý khi đầu tư trái phiếu doanh nghiệp.</w:t>
      </w:r>
    </w:p>
    <w:p w14:paraId="3642E02D" w14:textId="6CEADAFF" w:rsidR="00DE74BE" w:rsidRPr="00D4792C" w:rsidRDefault="00D4792C" w:rsidP="007D724F">
      <w:pPr>
        <w:spacing w:after="0" w:line="288" w:lineRule="auto"/>
        <w:ind w:firstLine="720"/>
        <w:jc w:val="both"/>
        <w:textAlignment w:val="baseline"/>
        <w:outlineLvl w:val="1"/>
        <w:rPr>
          <w:rFonts w:ascii="Times New Roman" w:eastAsia="Times New Roman" w:hAnsi="Times New Roman" w:cs="Times New Roman"/>
          <w:b/>
          <w:bCs/>
          <w:i/>
          <w:color w:val="000000" w:themeColor="text1"/>
          <w:sz w:val="28"/>
          <w:szCs w:val="28"/>
        </w:rPr>
      </w:pPr>
      <w:r>
        <w:rPr>
          <w:rFonts w:ascii="Times New Roman" w:eastAsia="Times New Roman" w:hAnsi="Times New Roman" w:cs="Times New Roman"/>
          <w:b/>
          <w:bCs/>
          <w:i/>
          <w:color w:val="000000" w:themeColor="text1"/>
          <w:sz w:val="28"/>
          <w:szCs w:val="28"/>
          <w:bdr w:val="none" w:sz="0" w:space="0" w:color="auto" w:frame="1"/>
        </w:rPr>
        <w:t xml:space="preserve">6.2. </w:t>
      </w:r>
      <w:r w:rsidR="00DE74BE" w:rsidRPr="00D4792C">
        <w:rPr>
          <w:rFonts w:ascii="Times New Roman" w:eastAsia="Times New Roman" w:hAnsi="Times New Roman" w:cs="Times New Roman"/>
          <w:b/>
          <w:bCs/>
          <w:i/>
          <w:color w:val="000000" w:themeColor="text1"/>
          <w:sz w:val="28"/>
          <w:szCs w:val="28"/>
          <w:bdr w:val="none" w:sz="0" w:space="0" w:color="auto" w:frame="1"/>
        </w:rPr>
        <w:t>Phát triển thị trường trái phiếu doanh nghiệp minh bạch, hiệu quả</w:t>
      </w:r>
    </w:p>
    <w:p w14:paraId="735F1E36" w14:textId="77777777" w:rsidR="00DE74BE" w:rsidRPr="00AC1E2D" w:rsidRDefault="00DE74BE"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Một là, hoàn thiện công tác tổ chức, điều hành thị trường gắn với hoàn thiện khung khổ pháp lý: phát triển thị trường trái phiếu doanh nghiệp theo hướng bền vững để trở thành kênh huy động vốn quan trọng cho các doanh nghiệp, xây dựng chuẩn mực thị trường, tách bạch giữa trái phiếu phát hành ra công chúng và phát hành riêng lẻ.</w:t>
      </w:r>
    </w:p>
    <w:p w14:paraId="2316ED30" w14:textId="77777777" w:rsidR="00DE74BE" w:rsidRPr="00AC1E2D" w:rsidRDefault="00DE74BE"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Hai là, nâng cao chất lượng của các công ty chứng khoán và công ty quản lý quỹ, nâng cao đạo đức nghề nghiệp, chất lượng dịch vụ của các tổ chức cung cấp dịch vụ.</w:t>
      </w:r>
    </w:p>
    <w:p w14:paraId="41960FBF" w14:textId="77777777" w:rsidR="00DE74BE" w:rsidRPr="00AC1E2D" w:rsidRDefault="00DE74BE"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 xml:space="preserve">Ba là, phát triển nhà đầu tư: thúc đẩy việc hình thành và hoạt động của các định chế đầu tư chuyên nghiệp và nhà đầu tư chứng khoán chuyên nghiệp, đồng thời </w:t>
      </w:r>
      <w:r w:rsidRPr="00AC1E2D">
        <w:rPr>
          <w:rFonts w:ascii="Times New Roman" w:eastAsia="Times New Roman" w:hAnsi="Times New Roman" w:cs="Times New Roman"/>
          <w:color w:val="000000" w:themeColor="text1"/>
          <w:sz w:val="28"/>
          <w:szCs w:val="28"/>
        </w:rPr>
        <w:lastRenderedPageBreak/>
        <w:t>tăng cường đào tạo, phát triển nhà đầu tư cá nhân có đầy đủ kiến thức khi tham gia thị trường.</w:t>
      </w:r>
    </w:p>
    <w:p w14:paraId="34E6ECE7" w14:textId="77777777" w:rsidR="00DE74BE" w:rsidRPr="00AC1E2D" w:rsidRDefault="00DE74BE"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Bốn là, nâng cao hiệu quả công tác giám sát, tiếp tục mở rộng phạm vi và tần suất giám sát, thanh, kiểm tra; nâng cao hiệu quả quản lý giám sát, cưỡng chế thực thi để kịp thời phát hiện và hạn chế rủi ro tiềm ẩn trên thị trường.</w:t>
      </w:r>
    </w:p>
    <w:p w14:paraId="1A1B1D95" w14:textId="77777777" w:rsidR="00DE74BE" w:rsidRPr="00AC1E2D" w:rsidRDefault="00DE74BE"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AC1E2D">
        <w:rPr>
          <w:rFonts w:ascii="Times New Roman" w:eastAsia="Times New Roman" w:hAnsi="Times New Roman" w:cs="Times New Roman"/>
          <w:color w:val="000000" w:themeColor="text1"/>
          <w:sz w:val="28"/>
          <w:szCs w:val="28"/>
        </w:rPr>
        <w:t>Năm là, tăng cường công tác phối hợp giữa các Bộ, ngành trong điều hành và quản lý giám sát thị trường chứng khoán, thị trường trái phiếu với thị trường tiền tệ, tín dụng ngân hàng bảo đảm tính công khai, minh bạch trên thị trường vốn, ổn định thị trường tài chính, qua đó góp phần ổn định kinh tế vĩ mô.</w:t>
      </w:r>
    </w:p>
    <w:p w14:paraId="3C2BFB4D" w14:textId="5507FA87" w:rsidR="00DE74BE" w:rsidRPr="00AC1E2D" w:rsidRDefault="004A34DD" w:rsidP="007D724F">
      <w:pPr>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4A34DD">
        <w:rPr>
          <w:rFonts w:ascii="Times New Roman" w:eastAsia="Times New Roman" w:hAnsi="Times New Roman" w:cs="Times New Roman"/>
          <w:b/>
          <w:i/>
          <w:color w:val="000000" w:themeColor="text1"/>
          <w:sz w:val="28"/>
          <w:szCs w:val="28"/>
        </w:rPr>
        <w:t xml:space="preserve">6.3. </w:t>
      </w:r>
      <w:r w:rsidR="00DE74BE" w:rsidRPr="004A34DD">
        <w:rPr>
          <w:rFonts w:ascii="Times New Roman" w:eastAsia="Times New Roman" w:hAnsi="Times New Roman" w:cs="Times New Roman"/>
          <w:b/>
          <w:i/>
          <w:color w:val="000000" w:themeColor="text1"/>
          <w:sz w:val="28"/>
          <w:szCs w:val="28"/>
        </w:rPr>
        <w:t>Về tuyên truyền, đào tạo</w:t>
      </w:r>
      <w:r w:rsidR="00DE74BE" w:rsidRPr="00AC1E2D">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Các cơ quan ban ngành </w:t>
      </w:r>
      <w:r w:rsidR="00DE74BE" w:rsidRPr="00AC1E2D">
        <w:rPr>
          <w:rFonts w:ascii="Times New Roman" w:eastAsia="Times New Roman" w:hAnsi="Times New Roman" w:cs="Times New Roman"/>
          <w:color w:val="000000" w:themeColor="text1"/>
          <w:sz w:val="28"/>
          <w:szCs w:val="28"/>
        </w:rPr>
        <w:t>chủ động thông tin tuyên truyền phổ biến chính sách về chào bán và giao dịch trái phiếu doanh nghiệp, cung cấp thông tin về tình hình hoạt động của thị trường trái phiếu doanh nghiệp, khuyến nghị những rủi ro cho nhà đầu tư, cho doanh nghiệp phát hành, các tổ chức cung cấp dịch vụ; đào tạo nhà đầu tư về kiến thức tài chính, đầu tư trên thị trường chứng khoán, đặc biệt là nhà đầu tư cá nhân khi tham gia thị trường trái phiếu doanh nghiệp riêng lẻ.</w:t>
      </w:r>
    </w:p>
    <w:bookmarkEnd w:id="9"/>
    <w:p w14:paraId="6F9EF81A" w14:textId="77777777" w:rsidR="004A34DD" w:rsidRDefault="004A34DD" w:rsidP="00021A86">
      <w:pPr>
        <w:shd w:val="clear" w:color="auto" w:fill="FFFFFF"/>
        <w:spacing w:after="0" w:line="288" w:lineRule="auto"/>
        <w:ind w:firstLine="576"/>
        <w:jc w:val="both"/>
        <w:rPr>
          <w:rFonts w:ascii="Times New Roman" w:eastAsia="Times New Roman" w:hAnsi="Times New Roman" w:cs="Times New Roman"/>
          <w:b/>
          <w:color w:val="000000" w:themeColor="text1"/>
          <w:sz w:val="28"/>
          <w:szCs w:val="28"/>
          <w:lang w:val="pt-BR"/>
        </w:rPr>
        <w:sectPr w:rsidR="004A34DD">
          <w:pgSz w:w="12240" w:h="15840"/>
          <w:pgMar w:top="1440" w:right="1440" w:bottom="1440" w:left="1440" w:header="720" w:footer="720" w:gutter="0"/>
          <w:cols w:space="720"/>
          <w:docGrid w:linePitch="360"/>
        </w:sectPr>
      </w:pPr>
    </w:p>
    <w:p w14:paraId="20EA7485" w14:textId="7E68468A" w:rsidR="005D573D" w:rsidRDefault="005D573D" w:rsidP="00021A86">
      <w:pPr>
        <w:shd w:val="clear" w:color="auto" w:fill="FFFFFF"/>
        <w:spacing w:after="0" w:line="288" w:lineRule="auto"/>
        <w:ind w:firstLine="576"/>
        <w:jc w:val="both"/>
        <w:rPr>
          <w:rFonts w:ascii="Times New Roman" w:eastAsia="Times New Roman" w:hAnsi="Times New Roman" w:cs="Times New Roman"/>
          <w:b/>
          <w:bCs/>
          <w:color w:val="000000" w:themeColor="text1"/>
          <w:kern w:val="36"/>
          <w:sz w:val="28"/>
          <w:szCs w:val="28"/>
          <w:lang w:val="pt-BR"/>
        </w:rPr>
      </w:pPr>
      <w:r w:rsidRPr="00EE68EF">
        <w:rPr>
          <w:rFonts w:ascii="Times New Roman" w:eastAsia="Times New Roman" w:hAnsi="Times New Roman" w:cs="Times New Roman"/>
          <w:b/>
          <w:color w:val="000000" w:themeColor="text1"/>
          <w:sz w:val="28"/>
          <w:szCs w:val="28"/>
          <w:lang w:val="pt-BR"/>
        </w:rPr>
        <w:lastRenderedPageBreak/>
        <w:t xml:space="preserve">Tham luận 9: Các quy định pháp luật về </w:t>
      </w:r>
      <w:r w:rsidRPr="00EE68EF">
        <w:rPr>
          <w:rFonts w:ascii="Times New Roman" w:eastAsia="Times New Roman" w:hAnsi="Times New Roman" w:cs="Times New Roman"/>
          <w:b/>
          <w:bCs/>
          <w:color w:val="000000" w:themeColor="text1"/>
          <w:sz w:val="28"/>
          <w:szCs w:val="28"/>
          <w:bdr w:val="none" w:sz="0" w:space="0" w:color="auto" w:frame="1"/>
          <w:lang w:val="pt-BR"/>
        </w:rPr>
        <w:t xml:space="preserve">huy động vốn từ </w:t>
      </w:r>
      <w:r w:rsidRPr="00EE68EF">
        <w:rPr>
          <w:rFonts w:ascii="Times New Roman" w:eastAsia="Times New Roman" w:hAnsi="Times New Roman" w:cs="Times New Roman"/>
          <w:b/>
          <w:bCs/>
          <w:color w:val="000000" w:themeColor="text1"/>
          <w:sz w:val="28"/>
          <w:szCs w:val="28"/>
          <w:lang w:val="pt-BR"/>
        </w:rPr>
        <w:t>phát hành cổ phiếu, niêm yết trên thị trường chứng khoán</w:t>
      </w:r>
      <w:r w:rsidR="00BE3469" w:rsidRPr="00EE68EF">
        <w:rPr>
          <w:rFonts w:ascii="Times New Roman" w:eastAsia="Times New Roman" w:hAnsi="Times New Roman" w:cs="Times New Roman"/>
          <w:b/>
          <w:bCs/>
          <w:color w:val="000000" w:themeColor="text1"/>
          <w:kern w:val="36"/>
          <w:sz w:val="28"/>
          <w:szCs w:val="28"/>
          <w:lang w:val="pt-BR"/>
        </w:rPr>
        <w:t>.</w:t>
      </w:r>
      <w:r w:rsidR="004A34DD">
        <w:rPr>
          <w:rFonts w:ascii="Times New Roman" w:eastAsia="Times New Roman" w:hAnsi="Times New Roman" w:cs="Times New Roman"/>
          <w:b/>
          <w:bCs/>
          <w:color w:val="000000" w:themeColor="text1"/>
          <w:kern w:val="36"/>
          <w:sz w:val="28"/>
          <w:szCs w:val="28"/>
          <w:lang w:val="pt-BR"/>
        </w:rPr>
        <w:t xml:space="preserve"> </w:t>
      </w:r>
      <w:r w:rsidR="00BE3469" w:rsidRPr="00EE68EF">
        <w:rPr>
          <w:rFonts w:ascii="Times New Roman" w:eastAsia="Times New Roman" w:hAnsi="Times New Roman" w:cs="Times New Roman"/>
          <w:b/>
          <w:bCs/>
          <w:color w:val="000000" w:themeColor="text1"/>
          <w:kern w:val="36"/>
          <w:sz w:val="28"/>
          <w:szCs w:val="28"/>
          <w:lang w:val="pt-BR"/>
        </w:rPr>
        <w:t>Một số rủi ro pháp lý cần lưu ý và giải pháp tối ưu cho doanh nghiệp</w:t>
      </w:r>
    </w:p>
    <w:p w14:paraId="70E86327" w14:textId="77777777" w:rsidR="00B314C3" w:rsidRDefault="00B314C3" w:rsidP="00B314C3">
      <w:pPr>
        <w:shd w:val="clear" w:color="auto" w:fill="FFFFFF"/>
        <w:spacing w:after="0" w:line="288" w:lineRule="auto"/>
        <w:jc w:val="both"/>
        <w:textAlignment w:val="baseline"/>
        <w:rPr>
          <w:rFonts w:ascii="Times New Roman" w:hAnsi="Times New Roman" w:cs="Times New Roman"/>
          <w:b/>
          <w:bCs/>
          <w:i/>
          <w:color w:val="000000" w:themeColor="text1"/>
          <w:sz w:val="28"/>
          <w:szCs w:val="28"/>
          <w:lang w:val="nl-NL"/>
        </w:rPr>
      </w:pPr>
      <w:r>
        <w:rPr>
          <w:rFonts w:ascii="Times New Roman" w:hAnsi="Times New Roman" w:cs="Times New Roman"/>
          <w:b/>
          <w:bCs/>
          <w:i/>
          <w:color w:val="000000" w:themeColor="text1"/>
          <w:sz w:val="28"/>
          <w:szCs w:val="28"/>
          <w:lang w:val="nl-NL"/>
        </w:rPr>
        <w:t xml:space="preserve">                                    </w:t>
      </w:r>
    </w:p>
    <w:p w14:paraId="3EE34404" w14:textId="29490E90" w:rsidR="00B314C3" w:rsidRPr="00B314C3" w:rsidRDefault="00B314C3" w:rsidP="00B314C3">
      <w:pPr>
        <w:shd w:val="clear" w:color="auto" w:fill="FFFFFF"/>
        <w:spacing w:after="0" w:line="288" w:lineRule="auto"/>
        <w:jc w:val="both"/>
        <w:textAlignment w:val="baseline"/>
        <w:rPr>
          <w:rFonts w:ascii="Times New Roman" w:hAnsi="Times New Roman" w:cs="Times New Roman"/>
          <w:b/>
          <w:bCs/>
          <w:i/>
          <w:color w:val="000000" w:themeColor="text1"/>
          <w:sz w:val="28"/>
          <w:szCs w:val="28"/>
          <w:lang w:val="nl-NL"/>
        </w:rPr>
      </w:pPr>
      <w:bookmarkStart w:id="10" w:name="_Hlk136434565"/>
      <w:r>
        <w:rPr>
          <w:rFonts w:ascii="Times New Roman" w:hAnsi="Times New Roman" w:cs="Times New Roman"/>
          <w:b/>
          <w:bCs/>
          <w:i/>
          <w:color w:val="000000" w:themeColor="text1"/>
          <w:sz w:val="28"/>
          <w:szCs w:val="28"/>
          <w:lang w:val="nl-NL"/>
        </w:rPr>
        <w:t xml:space="preserve">                                       </w:t>
      </w:r>
      <w:r w:rsidRPr="00B314C3">
        <w:rPr>
          <w:rFonts w:ascii="Times New Roman" w:hAnsi="Times New Roman" w:cs="Times New Roman"/>
          <w:b/>
          <w:bCs/>
          <w:i/>
          <w:color w:val="000000" w:themeColor="text1"/>
          <w:sz w:val="28"/>
          <w:szCs w:val="28"/>
          <w:lang w:val="nl-NL"/>
        </w:rPr>
        <w:t>Ông Phan Hồng Đức – Cố vấn cấp cao công ty Leanwares</w:t>
      </w:r>
    </w:p>
    <w:bookmarkEnd w:id="10"/>
    <w:p w14:paraId="511C17AA" w14:textId="77777777" w:rsidR="00B314C3" w:rsidRDefault="00B314C3" w:rsidP="00B314C3">
      <w:pPr>
        <w:shd w:val="clear" w:color="auto" w:fill="FFFFFF"/>
        <w:spacing w:after="0" w:line="288" w:lineRule="auto"/>
        <w:ind w:left="2880"/>
        <w:jc w:val="both"/>
        <w:textAlignment w:val="baseline"/>
        <w:rPr>
          <w:rFonts w:ascii="Times New Roman" w:hAnsi="Times New Roman"/>
          <w:bCs/>
          <w:color w:val="FF0000"/>
          <w:sz w:val="28"/>
          <w:szCs w:val="28"/>
          <w:lang w:val="nl-NL"/>
        </w:rPr>
      </w:pPr>
    </w:p>
    <w:p w14:paraId="1D907189" w14:textId="2F96951D" w:rsidR="00EB4559" w:rsidRPr="00EB4559" w:rsidRDefault="00EB4559" w:rsidP="00EB4559">
      <w:pPr>
        <w:shd w:val="clear" w:color="auto" w:fill="FFFFFF"/>
        <w:spacing w:after="0" w:line="288" w:lineRule="auto"/>
        <w:jc w:val="both"/>
        <w:textAlignment w:val="baseline"/>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
          <w:color w:val="000000" w:themeColor="text1"/>
          <w:sz w:val="28"/>
          <w:szCs w:val="28"/>
          <w:lang w:val="pt-BR"/>
        </w:rPr>
        <w:t xml:space="preserve">          </w:t>
      </w:r>
      <w:r w:rsidR="00F060EB">
        <w:rPr>
          <w:rFonts w:ascii="Times New Roman" w:eastAsia="Times New Roman" w:hAnsi="Times New Roman" w:cs="Times New Roman"/>
          <w:b/>
          <w:color w:val="000000" w:themeColor="text1"/>
          <w:sz w:val="28"/>
          <w:szCs w:val="28"/>
          <w:lang w:val="pt-BR"/>
        </w:rPr>
        <w:t xml:space="preserve">I. </w:t>
      </w:r>
      <w:r w:rsidRPr="00EB4559">
        <w:rPr>
          <w:rFonts w:ascii="Times New Roman" w:eastAsia="Times New Roman" w:hAnsi="Times New Roman" w:cs="Times New Roman"/>
          <w:b/>
          <w:color w:val="000000" w:themeColor="text1"/>
          <w:sz w:val="28"/>
          <w:szCs w:val="28"/>
          <w:lang w:val="pt-BR"/>
        </w:rPr>
        <w:t xml:space="preserve">Các quy định pháp luật về </w:t>
      </w:r>
      <w:r w:rsidRPr="00EB4559">
        <w:rPr>
          <w:rFonts w:ascii="Times New Roman" w:eastAsia="Times New Roman" w:hAnsi="Times New Roman" w:cs="Times New Roman"/>
          <w:b/>
          <w:bCs/>
          <w:color w:val="000000" w:themeColor="text1"/>
          <w:sz w:val="28"/>
          <w:szCs w:val="28"/>
          <w:bdr w:val="none" w:sz="0" w:space="0" w:color="auto" w:frame="1"/>
          <w:lang w:val="pt-BR"/>
        </w:rPr>
        <w:t xml:space="preserve">huy động vốn từ </w:t>
      </w:r>
      <w:r w:rsidRPr="00EB4559">
        <w:rPr>
          <w:rFonts w:ascii="Times New Roman" w:eastAsia="Times New Roman" w:hAnsi="Times New Roman" w:cs="Times New Roman"/>
          <w:b/>
          <w:bCs/>
          <w:color w:val="000000" w:themeColor="text1"/>
          <w:sz w:val="28"/>
          <w:szCs w:val="28"/>
          <w:lang w:val="pt-BR"/>
        </w:rPr>
        <w:t>phát hành cổ phiếu</w:t>
      </w:r>
    </w:p>
    <w:p w14:paraId="012CC4F6" w14:textId="4942AA6A" w:rsidR="00BD67B1" w:rsidRDefault="0052513C" w:rsidP="00BD67B1">
      <w:pPr>
        <w:shd w:val="clear" w:color="auto" w:fill="FFFFFF"/>
        <w:spacing w:after="0" w:line="288" w:lineRule="auto"/>
        <w:ind w:firstLine="720"/>
        <w:jc w:val="both"/>
        <w:textAlignment w:val="baseline"/>
        <w:rPr>
          <w:rFonts w:ascii="Times New Roman" w:eastAsia="Times New Roman" w:hAnsi="Times New Roman" w:cs="Times New Roman"/>
          <w:bCs/>
          <w:color w:val="000000" w:themeColor="text1"/>
          <w:sz w:val="28"/>
          <w:szCs w:val="28"/>
        </w:rPr>
      </w:pPr>
      <w:r w:rsidRPr="004A34DD">
        <w:rPr>
          <w:rFonts w:ascii="Times New Roman" w:eastAsia="Times New Roman" w:hAnsi="Times New Roman" w:cs="Times New Roman"/>
          <w:bCs/>
          <w:color w:val="000000" w:themeColor="text1"/>
          <w:sz w:val="28"/>
          <w:szCs w:val="28"/>
        </w:rPr>
        <w:t xml:space="preserve">Để mở rộng quy mô sản xuất, kinh doanh, doanh nghiệp cần một lượng vốn lớn và thường phải huy động vốn từ các nguồn lực bên ngoài. Có nhiều cách thức huy động vốn khác nhau, tuy nhiên phát hành cổ phiếu là một trong những kênh huy động vốn hiệu quả nhất. </w:t>
      </w:r>
    </w:p>
    <w:p w14:paraId="5ABF7460" w14:textId="67A006AB" w:rsidR="0052513C" w:rsidRPr="00F060EB" w:rsidRDefault="0052513C" w:rsidP="00BD67B1">
      <w:pPr>
        <w:shd w:val="clear" w:color="auto" w:fill="FFFFFF"/>
        <w:spacing w:after="0" w:line="288" w:lineRule="auto"/>
        <w:ind w:firstLine="720"/>
        <w:jc w:val="both"/>
        <w:textAlignment w:val="baseline"/>
        <w:rPr>
          <w:rFonts w:ascii="Times New Roman" w:eastAsia="Times New Roman" w:hAnsi="Times New Roman" w:cs="Times New Roman"/>
          <w:b/>
          <w:bCs/>
          <w:i/>
          <w:color w:val="000000" w:themeColor="text1"/>
          <w:sz w:val="28"/>
          <w:szCs w:val="28"/>
        </w:rPr>
      </w:pPr>
      <w:r w:rsidRPr="00F060EB">
        <w:rPr>
          <w:rFonts w:ascii="Times New Roman" w:eastAsia="Times New Roman" w:hAnsi="Times New Roman" w:cs="Times New Roman"/>
          <w:b/>
          <w:bCs/>
          <w:i/>
          <w:color w:val="000000" w:themeColor="text1"/>
          <w:sz w:val="28"/>
          <w:szCs w:val="28"/>
        </w:rPr>
        <w:t>1. Phát hành cổ phiếu là gì?</w:t>
      </w:r>
    </w:p>
    <w:p w14:paraId="7DE07AC9"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Trước khi hiểu phát hành cổ phiếu là gì, chúng ta hãy làm rõ khái niệm về cổ phiếu. Cổ phiếu là loại chứng khoán xác nhận quyền và lợi ích hợp pháp của người sở hữu đối với một phần vốn cổ phần của tổ chức phát hành. Còn theo quy định tại Khoản 1 Điều 121 Luật Doanh nghiệp 2020</w:t>
      </w:r>
    </w:p>
    <w:p w14:paraId="27D37126"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bdr w:val="none" w:sz="0" w:space="0" w:color="auto" w:frame="1"/>
        </w:rPr>
        <w:t>"1. Cổ phiếu là chứng chỉ do công ty cổ phần phát hành, bút toán ghi sổ hoặc dữ liệu điện tử xác nhận quyền sở hữu một hoặc một số cổ phần của công ty đó."</w:t>
      </w:r>
    </w:p>
    <w:p w14:paraId="75A889A8"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Phát hành cổ phiếu là hoạt động nhằm huy động vốn điều lệ chỉ có với công ty cổ phần. Các cổ đông (những người nắm giữ cổ phiếu trong công ty cổ phần) sẽ chuyển nhượng, mua bán cổ phần (phần vốn được chia ra) của công ty và những người khi mua cổ phần sẽ được chứng nhận, xác minh quyền sở hữu đối với phần cổ phần mà mình có được bằng cổ phiếu.</w:t>
      </w:r>
    </w:p>
    <w:p w14:paraId="5DB5DD7A"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được phép phát hành là số lượng cổ phiếu tối đa mà một doanh nghiệp được phép phát hành hợp pháp. Quy định về số lượng cổ phiếu được phép phát hành được đặt ra nhằm tránh tình trạng pha loãng mức tỷ lệ sở hữu cổ phiếu trong công ty cổ phần.</w:t>
      </w:r>
    </w:p>
    <w:p w14:paraId="521F3603" w14:textId="2D8CC7FE" w:rsidR="0052513C" w:rsidRPr="00F060EB" w:rsidRDefault="0052513C" w:rsidP="00BD67B1">
      <w:pPr>
        <w:shd w:val="clear" w:color="auto" w:fill="FFFFFF"/>
        <w:spacing w:after="0" w:line="288" w:lineRule="auto"/>
        <w:ind w:firstLine="720"/>
        <w:jc w:val="both"/>
        <w:textAlignment w:val="baseline"/>
        <w:rPr>
          <w:rFonts w:ascii="Times New Roman" w:eastAsia="Times New Roman" w:hAnsi="Times New Roman" w:cs="Times New Roman"/>
          <w:b/>
          <w:bCs/>
          <w:i/>
          <w:color w:val="000000" w:themeColor="text1"/>
          <w:sz w:val="28"/>
          <w:szCs w:val="28"/>
        </w:rPr>
      </w:pPr>
      <w:r w:rsidRPr="00F060EB">
        <w:rPr>
          <w:rFonts w:ascii="Times New Roman" w:eastAsia="Times New Roman" w:hAnsi="Times New Roman" w:cs="Times New Roman"/>
          <w:i/>
          <w:color w:val="000000" w:themeColor="text1"/>
          <w:sz w:val="28"/>
          <w:szCs w:val="28"/>
        </w:rPr>
        <w:t> </w:t>
      </w:r>
      <w:r w:rsidRPr="00F060EB">
        <w:rPr>
          <w:rFonts w:ascii="Times New Roman" w:eastAsia="Times New Roman" w:hAnsi="Times New Roman" w:cs="Times New Roman"/>
          <w:b/>
          <w:bCs/>
          <w:i/>
          <w:color w:val="000000" w:themeColor="text1"/>
          <w:sz w:val="28"/>
          <w:szCs w:val="28"/>
        </w:rPr>
        <w:t>2. Quy định về phát hành cổ phiếu</w:t>
      </w:r>
    </w:p>
    <w:p w14:paraId="1267E264" w14:textId="2715E22C" w:rsidR="0052513C" w:rsidRPr="00F060EB" w:rsidRDefault="00BD67B1" w:rsidP="004A34DD">
      <w:pPr>
        <w:shd w:val="clear" w:color="auto" w:fill="FFFFFF"/>
        <w:spacing w:after="0" w:line="288" w:lineRule="auto"/>
        <w:ind w:firstLine="720"/>
        <w:jc w:val="both"/>
        <w:textAlignment w:val="baseline"/>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Cs/>
          <w:i/>
          <w:color w:val="000000" w:themeColor="text1"/>
          <w:sz w:val="28"/>
          <w:szCs w:val="28"/>
          <w:bdr w:val="none" w:sz="0" w:space="0" w:color="auto" w:frame="1"/>
        </w:rPr>
        <w:t xml:space="preserve">2.1. </w:t>
      </w:r>
      <w:r w:rsidR="0052513C" w:rsidRPr="00F060EB">
        <w:rPr>
          <w:rFonts w:ascii="Times New Roman" w:eastAsia="Times New Roman" w:hAnsi="Times New Roman" w:cs="Times New Roman"/>
          <w:bCs/>
          <w:i/>
          <w:color w:val="000000" w:themeColor="text1"/>
          <w:sz w:val="28"/>
          <w:szCs w:val="28"/>
          <w:bdr w:val="none" w:sz="0" w:space="0" w:color="auto" w:frame="1"/>
        </w:rPr>
        <w:t>Cổ phiếu được phát hành phải có các nội dung chủ yếu sau:</w:t>
      </w:r>
    </w:p>
    <w:p w14:paraId="3664CCE0"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Tên, mã số doanh nghiệp và địa chỉ trụ sở chính của công ty;</w:t>
      </w:r>
    </w:p>
    <w:p w14:paraId="54149034"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Số lượng cổ phần, loại cổ phần;</w:t>
      </w:r>
    </w:p>
    <w:p w14:paraId="33ED0B22"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Mệnh giá mỗi cổ phần, tổng mệnh giá số cổ phần ghi trên cổ phiếu;</w:t>
      </w:r>
    </w:p>
    <w:p w14:paraId="27D0F4F0"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Họ, tên, địa chỉ thường trú, quốc tịch, số Thẻ căn cước công dân và Giấy chứng minh nhân dân, Hộ chiếu hoặc chứng thực cá nhân hợp pháp khác của cổ đông là cá nhân; tên, mã số doanh nghiệp hoặc số quyết định thành lập và địa chỉ trụ sở chính của cổ đông là tổ chức;</w:t>
      </w:r>
    </w:p>
    <w:p w14:paraId="16517002"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Tóm tắt về thủ tục thực hiện chuyển nhượng cổ phần;</w:t>
      </w:r>
    </w:p>
    <w:p w14:paraId="4D42C7E1"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Chữ ký của người đại diện theo pháp luật, dấu của công ty (nếu có);</w:t>
      </w:r>
    </w:p>
    <w:p w14:paraId="15FAE3B3"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Số đăng ký tại sổ đăng ký cổ đông của công ty, kèm với ngày phát hành cổ phiếu;</w:t>
      </w:r>
    </w:p>
    <w:p w14:paraId="54FDFF27" w14:textId="77777777" w:rsidR="0052513C" w:rsidRPr="00EE68EF" w:rsidRDefault="0052513C" w:rsidP="004A34DD">
      <w:pPr>
        <w:numPr>
          <w:ilvl w:val="0"/>
          <w:numId w:val="16"/>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Nội dung khác theo quy định tại điều 116, 117 và 118 của Luật này đối với cổ phiếu của cổ phần ưu đãi.</w:t>
      </w:r>
    </w:p>
    <w:p w14:paraId="2F324CB1" w14:textId="7FE9DF7C" w:rsidR="0052513C" w:rsidRPr="00F060EB" w:rsidRDefault="00BD67B1" w:rsidP="004A34DD">
      <w:pPr>
        <w:shd w:val="clear" w:color="auto" w:fill="FFFFFF"/>
        <w:spacing w:after="0" w:line="288" w:lineRule="auto"/>
        <w:ind w:firstLine="720"/>
        <w:jc w:val="both"/>
        <w:textAlignment w:val="baseline"/>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Cs/>
          <w:i/>
          <w:color w:val="000000" w:themeColor="text1"/>
          <w:sz w:val="28"/>
          <w:szCs w:val="28"/>
          <w:bdr w:val="none" w:sz="0" w:space="0" w:color="auto" w:frame="1"/>
        </w:rPr>
        <w:t xml:space="preserve">2.2. </w:t>
      </w:r>
      <w:r w:rsidR="0052513C" w:rsidRPr="00F060EB">
        <w:rPr>
          <w:rFonts w:ascii="Times New Roman" w:eastAsia="Times New Roman" w:hAnsi="Times New Roman" w:cs="Times New Roman"/>
          <w:bCs/>
          <w:i/>
          <w:color w:val="000000" w:themeColor="text1"/>
          <w:sz w:val="28"/>
          <w:szCs w:val="28"/>
          <w:bdr w:val="none" w:sz="0" w:space="0" w:color="auto" w:frame="1"/>
        </w:rPr>
        <w:t>Giá phát hành cổ phiếu</w:t>
      </w:r>
    </w:p>
    <w:p w14:paraId="37B4EDC1"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Giá phát hành cổ phiếu hay mệnh giá của cổ phiếu là giá trị danh nghĩa mà công ty cổ phần ấn định cho một cổ phiếu, được ghi trên cổ phiếu. Mệnh giá cổ phiếu không có giá trị thực tế với nhà đầu tư khi đã đầu tư. Mệnh giá thể hiện số tiền tối thiểu mà công ty phải nhận được trên mỗi cổ phiếu mà Công ty phát hành ra.</w:t>
      </w:r>
    </w:p>
    <w:p w14:paraId="3311DB95" w14:textId="77777777" w:rsidR="0052513C" w:rsidRPr="00EE68EF"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Khoản 2 Điều 13 Luật Chứng khoán, mệnh giá cổ phiếu chào bán ra công chúng là 10 nghìn đồng.</w:t>
      </w:r>
    </w:p>
    <w:p w14:paraId="5A22215F" w14:textId="4A2FA211" w:rsidR="0052513C" w:rsidRPr="00F060EB" w:rsidRDefault="0052513C" w:rsidP="00BD67B1">
      <w:pPr>
        <w:shd w:val="clear" w:color="auto" w:fill="FFFFFF"/>
        <w:spacing w:after="0" w:line="288" w:lineRule="auto"/>
        <w:ind w:firstLine="720"/>
        <w:jc w:val="both"/>
        <w:textAlignment w:val="baseline"/>
        <w:rPr>
          <w:rFonts w:ascii="Times New Roman" w:eastAsia="Times New Roman" w:hAnsi="Times New Roman" w:cs="Times New Roman"/>
          <w:b/>
          <w:bCs/>
          <w:i/>
          <w:color w:val="000000" w:themeColor="text1"/>
          <w:sz w:val="28"/>
          <w:szCs w:val="28"/>
        </w:rPr>
      </w:pPr>
      <w:r w:rsidRPr="00F060EB">
        <w:rPr>
          <w:rFonts w:ascii="Times New Roman" w:eastAsia="Times New Roman" w:hAnsi="Times New Roman" w:cs="Times New Roman"/>
          <w:b/>
          <w:i/>
          <w:color w:val="000000" w:themeColor="text1"/>
          <w:sz w:val="28"/>
          <w:szCs w:val="28"/>
        </w:rPr>
        <w:t> </w:t>
      </w:r>
      <w:r w:rsidRPr="00F060EB">
        <w:rPr>
          <w:rFonts w:ascii="Times New Roman" w:eastAsia="Times New Roman" w:hAnsi="Times New Roman" w:cs="Times New Roman"/>
          <w:b/>
          <w:bCs/>
          <w:i/>
          <w:color w:val="000000" w:themeColor="text1"/>
          <w:sz w:val="28"/>
          <w:szCs w:val="28"/>
        </w:rPr>
        <w:t>3. Điều kiện phát hành cổ phiếu mới nhất </w:t>
      </w:r>
    </w:p>
    <w:p w14:paraId="6A671D3D" w14:textId="77777777" w:rsidR="0052513C" w:rsidRPr="00BD67B1" w:rsidRDefault="0052513C" w:rsidP="004A34DD">
      <w:pPr>
        <w:shd w:val="clear" w:color="auto" w:fill="FFFFFF"/>
        <w:spacing w:after="0" w:line="288" w:lineRule="auto"/>
        <w:ind w:firstLine="720"/>
        <w:jc w:val="both"/>
        <w:textAlignment w:val="baseline"/>
        <w:outlineLvl w:val="2"/>
        <w:rPr>
          <w:rFonts w:ascii="Times New Roman" w:eastAsia="Times New Roman" w:hAnsi="Times New Roman" w:cs="Times New Roman"/>
          <w:bCs/>
          <w:i/>
          <w:color w:val="000000" w:themeColor="text1"/>
          <w:sz w:val="28"/>
          <w:szCs w:val="28"/>
        </w:rPr>
      </w:pPr>
      <w:r w:rsidRPr="00BD67B1">
        <w:rPr>
          <w:rFonts w:ascii="Times New Roman" w:eastAsia="Times New Roman" w:hAnsi="Times New Roman" w:cs="Times New Roman"/>
          <w:bCs/>
          <w:i/>
          <w:color w:val="000000" w:themeColor="text1"/>
          <w:sz w:val="28"/>
          <w:szCs w:val="28"/>
        </w:rPr>
        <w:t>3.1. Điều kiện phát hành cổ phiếu ra công chúng</w:t>
      </w:r>
    </w:p>
    <w:p w14:paraId="10D9A44D" w14:textId="77777777" w:rsidR="0052513C" w:rsidRPr="00BD67B1"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i/>
          <w:color w:val="000000" w:themeColor="text1"/>
          <w:sz w:val="28"/>
          <w:szCs w:val="28"/>
        </w:rPr>
      </w:pPr>
      <w:r w:rsidRPr="00BD67B1">
        <w:rPr>
          <w:rFonts w:ascii="Times New Roman" w:eastAsia="Times New Roman" w:hAnsi="Times New Roman" w:cs="Times New Roman"/>
          <w:bCs/>
          <w:i/>
          <w:color w:val="000000" w:themeColor="text1"/>
          <w:sz w:val="28"/>
          <w:szCs w:val="28"/>
          <w:bdr w:val="none" w:sz="0" w:space="0" w:color="auto" w:frame="1"/>
        </w:rPr>
        <w:t>Điều kiện chào bán cổ phiếu lần đầu ra công chúng của công ty cổ phần bao gồm: </w:t>
      </w:r>
    </w:p>
    <w:p w14:paraId="0880CA1C"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Mức vốn điều lệ đã góp tại thời điểm đăng ký chào bán từ 30 tỷ đồng trở lên tính theo giá trị ghi trên sổ kế toán;</w:t>
      </w:r>
    </w:p>
    <w:p w14:paraId="4FD6471F"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Hoạt động kinh doanh của 2 năm liên tục liền trước năm đăng ký chào bán phải có lãi, đồng thời không có lỗ lũy kế tính đến năm đăng ký chào bán;</w:t>
      </w:r>
    </w:p>
    <w:p w14:paraId="6A735DE1"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Có phương án phát hành và phương án sử dụng vốn thu được từ đợt chào bán cổ phiếu được Đại hội đồng cổ đông thông qua;</w:t>
      </w:r>
    </w:p>
    <w:p w14:paraId="66E576F9"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Tối thiểu là 15% số cổ phiếu có quyền biểu quyết của tổ chức phát hành được bán cho ít nhất 100 nhà đầu tư không phải cổ đông lớn; trường hợp vốn điều lệ của tổ chức phát hành từ 1.000 tỷ đồng trở lên, tỷ lệ tối thiểu là 10% số cổ phiếu có quyền biểu quyết của tổ chức phát hành;</w:t>
      </w:r>
    </w:p>
    <w:p w14:paraId="0C12206D"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Cổ đông lớn trước thời điểm chào bán cổ phiếu lần đầu ra công chúng của tổ chức phát hành phải cam kết cùng nhau nắm giữ ít nhất 20% vốn điều lệ của tổ chức phát hành tối thiểu là 01 năm kể từ ngày kết thúc đợt chào bán;</w:t>
      </w:r>
    </w:p>
    <w:p w14:paraId="2E72B3A4"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Tổ chức phát hành không thuộc trường hợp đang bị truy cứu trách nhiệm hình sự hoặc đã bị kết án về một trong các tội xâm phạm trật tự quản lý kinh tế mà chưa được xóa án tích.</w:t>
      </w:r>
    </w:p>
    <w:p w14:paraId="01625D58"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Có công ty chứng khoán tư vấn hồ sơ đăng ký chào bán cổ phiếu ra công chúng, trừ trường hợp tổ chức phát hành là công ty chứng khoán;</w:t>
      </w:r>
    </w:p>
    <w:p w14:paraId="35A3A660"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Có cam kết và phải thực hiện niêm yết hoặc đăng ký giao dịch cổ phiếu trên hệ thống giao dịch chứng khoán sau khi kết thúc đợt chào bán;</w:t>
      </w:r>
    </w:p>
    <w:p w14:paraId="62328D90" w14:textId="77777777" w:rsidR="0052513C" w:rsidRPr="00EE68EF" w:rsidRDefault="0052513C" w:rsidP="004A34DD">
      <w:pPr>
        <w:numPr>
          <w:ilvl w:val="0"/>
          <w:numId w:val="17"/>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Tổ chức phát hành phải mở tài khoản phong tỏa nhận tiền mua cổ phiếu của đợt chào bán.</w:t>
      </w:r>
    </w:p>
    <w:p w14:paraId="486DA6B4" w14:textId="77777777" w:rsidR="0052513C" w:rsidRPr="00BD67B1" w:rsidRDefault="0052513C" w:rsidP="004A34DD">
      <w:pPr>
        <w:shd w:val="clear" w:color="auto" w:fill="FFFFFF"/>
        <w:spacing w:after="0" w:line="288" w:lineRule="auto"/>
        <w:ind w:firstLine="720"/>
        <w:jc w:val="both"/>
        <w:textAlignment w:val="baseline"/>
        <w:rPr>
          <w:rFonts w:ascii="Times New Roman" w:eastAsia="Times New Roman" w:hAnsi="Times New Roman" w:cs="Times New Roman"/>
          <w:i/>
          <w:color w:val="000000" w:themeColor="text1"/>
          <w:sz w:val="28"/>
          <w:szCs w:val="28"/>
        </w:rPr>
      </w:pPr>
      <w:r w:rsidRPr="00BD67B1">
        <w:rPr>
          <w:rFonts w:ascii="Times New Roman" w:eastAsia="Times New Roman" w:hAnsi="Times New Roman" w:cs="Times New Roman"/>
          <w:bCs/>
          <w:i/>
          <w:color w:val="000000" w:themeColor="text1"/>
          <w:sz w:val="28"/>
          <w:szCs w:val="28"/>
          <w:bdr w:val="none" w:sz="0" w:space="0" w:color="auto" w:frame="1"/>
        </w:rPr>
        <w:t>Điều kiện chào bán thêm cổ phiếu ra công chúng:</w:t>
      </w:r>
    </w:p>
    <w:p w14:paraId="31A1159E" w14:textId="77777777" w:rsidR="0052513C" w:rsidRPr="00EE68EF" w:rsidRDefault="0052513C" w:rsidP="004A34DD">
      <w:pPr>
        <w:numPr>
          <w:ilvl w:val="0"/>
          <w:numId w:val="18"/>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Hoạt động kinh doanh của năm liền trước năm đăng ký chào bán phải có lãi, đồng thời không có lỗ lũy kế tính đến năm đăng ký chào bán;</w:t>
      </w:r>
    </w:p>
    <w:p w14:paraId="0BC71A28" w14:textId="77777777" w:rsidR="0052513C" w:rsidRPr="00EE68EF" w:rsidRDefault="0052513C" w:rsidP="004A34DD">
      <w:pPr>
        <w:numPr>
          <w:ilvl w:val="0"/>
          <w:numId w:val="18"/>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Giá trị cổ phiếu phát hành thêm theo mệnh giá không lớn hơn tổng giá trị cổ phiếu đang lưu hành tính theo mệnh giá, trừ trường hợp có bảo lãnh phát hành với cam kết nhận mua toàn bộ cổ phiếu của tổ chức phát hành để bán lại hoặc mua số cổ phiếu còn lại chưa được phân phối hết của tổ chức phát hành, phát hành tăng vốn từ nguồn vốn chủ sở hữu, phát hành để hoán đổi, hợp nhất, sáp nhập doanh nghiệp;</w:t>
      </w:r>
    </w:p>
    <w:p w14:paraId="70431625" w14:textId="77777777" w:rsidR="0052513C" w:rsidRPr="00EE68EF" w:rsidRDefault="0052513C" w:rsidP="004A34DD">
      <w:pPr>
        <w:numPr>
          <w:ilvl w:val="0"/>
          <w:numId w:val="18"/>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đợt chào bán ra công chúng nhằm mục đích huy động phần vốn để thực hiện dự án của tổ chức phát hành, cổ phiếu được bán cho các nhà đầu tư phải đạt tối thiểu là 70% số cổ phiếu dự kiến chào bán. Tổ chức phát hành phải có phương án bù đắp phần thiếu hụt vốn dự kiến huy động từ đợt chào bán để thực hiện dự án.</w:t>
      </w:r>
    </w:p>
    <w:p w14:paraId="42BCC6BF" w14:textId="0E207899" w:rsidR="0052513C" w:rsidRPr="00BD67B1" w:rsidRDefault="0052513C" w:rsidP="00BD67B1">
      <w:pPr>
        <w:shd w:val="clear" w:color="auto" w:fill="FFFFFF"/>
        <w:spacing w:after="0" w:line="288" w:lineRule="auto"/>
        <w:ind w:firstLine="720"/>
        <w:jc w:val="both"/>
        <w:textAlignment w:val="baseline"/>
        <w:rPr>
          <w:rFonts w:ascii="Times New Roman" w:eastAsia="Times New Roman" w:hAnsi="Times New Roman" w:cs="Times New Roman"/>
          <w:bCs/>
          <w:i/>
          <w:color w:val="000000" w:themeColor="text1"/>
          <w:sz w:val="28"/>
          <w:szCs w:val="28"/>
        </w:rPr>
      </w:pPr>
      <w:r w:rsidRPr="00BD67B1">
        <w:rPr>
          <w:rFonts w:ascii="Times New Roman" w:eastAsia="Times New Roman" w:hAnsi="Times New Roman" w:cs="Times New Roman"/>
          <w:i/>
          <w:color w:val="000000" w:themeColor="text1"/>
          <w:sz w:val="28"/>
          <w:szCs w:val="28"/>
        </w:rPr>
        <w:t> </w:t>
      </w:r>
      <w:r w:rsidRPr="00BD67B1">
        <w:rPr>
          <w:rFonts w:ascii="Times New Roman" w:eastAsia="Times New Roman" w:hAnsi="Times New Roman" w:cs="Times New Roman"/>
          <w:bCs/>
          <w:i/>
          <w:color w:val="000000" w:themeColor="text1"/>
          <w:sz w:val="28"/>
          <w:szCs w:val="28"/>
        </w:rPr>
        <w:t>3.2 Điều kiện chào bán cổ phiếu riêng lẻ</w:t>
      </w:r>
    </w:p>
    <w:p w14:paraId="5F2169FF" w14:textId="77777777" w:rsidR="0052513C" w:rsidRPr="00EE68EF" w:rsidRDefault="0052513C" w:rsidP="004A34DD">
      <w:pPr>
        <w:numPr>
          <w:ilvl w:val="0"/>
          <w:numId w:val="19"/>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Có quyết định của Đại hội đồng cổ đông thông qua phương án phát hành và sử dụng số tiền thu được từ đợt chào bán; xác định rõ tiêu chí, số lượng nhà đầu tư;</w:t>
      </w:r>
    </w:p>
    <w:p w14:paraId="1FEC48F6" w14:textId="77777777" w:rsidR="0052513C" w:rsidRPr="00EE68EF" w:rsidRDefault="0052513C" w:rsidP="004A34DD">
      <w:pPr>
        <w:numPr>
          <w:ilvl w:val="0"/>
          <w:numId w:val="19"/>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tượng tham gia đợt chào bán chỉ bao gồm nhà đầu tư chiến lược, nhà đầu tư chứng khoán chuyên nghiệp;</w:t>
      </w:r>
    </w:p>
    <w:p w14:paraId="46B7B95E" w14:textId="77777777" w:rsidR="0052513C" w:rsidRPr="00EE68EF" w:rsidRDefault="0052513C" w:rsidP="004A34DD">
      <w:pPr>
        <w:numPr>
          <w:ilvl w:val="0"/>
          <w:numId w:val="19"/>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đợt chào bán cổ phiếu riêng lẻ phải cách nhau ít nhất 06 tháng kể từ ngày kết thúc đợt chào bán gần nhất;</w:t>
      </w:r>
    </w:p>
    <w:p w14:paraId="114F273D" w14:textId="77777777" w:rsidR="0052513C" w:rsidRPr="00EE68EF" w:rsidRDefault="0052513C" w:rsidP="004A34DD">
      <w:pPr>
        <w:numPr>
          <w:ilvl w:val="0"/>
          <w:numId w:val="19"/>
        </w:numPr>
        <w:shd w:val="clear" w:color="auto" w:fill="FFFFFF"/>
        <w:spacing w:after="0" w:line="288" w:lineRule="auto"/>
        <w:ind w:left="0"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Việc chào bán cổ phiếu, chuyển đổi trái phiếu thành cổ phiếu, thực hiện chứng quyền phải đáp ứng quy định về tỷ lệ sở hữu của nhà đầu tư nước ngoài. </w:t>
      </w:r>
    </w:p>
    <w:p w14:paraId="21B3E827" w14:textId="3FE46FCA" w:rsidR="0052513C" w:rsidRPr="00F060EB" w:rsidRDefault="002F68E8" w:rsidP="004A34DD">
      <w:pPr>
        <w:shd w:val="clear" w:color="auto" w:fill="FFFFFF"/>
        <w:spacing w:after="0" w:line="288" w:lineRule="auto"/>
        <w:ind w:firstLine="720"/>
        <w:jc w:val="both"/>
        <w:outlineLvl w:val="1"/>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bCs/>
          <w:i/>
          <w:color w:val="000000" w:themeColor="text1"/>
          <w:sz w:val="28"/>
          <w:szCs w:val="28"/>
        </w:rPr>
        <w:t>4</w:t>
      </w:r>
      <w:r w:rsidR="0052513C" w:rsidRPr="00F060EB">
        <w:rPr>
          <w:rFonts w:ascii="Times New Roman" w:eastAsia="Times New Roman" w:hAnsi="Times New Roman" w:cs="Times New Roman"/>
          <w:b/>
          <w:bCs/>
          <w:i/>
          <w:color w:val="000000" w:themeColor="text1"/>
          <w:sz w:val="28"/>
          <w:szCs w:val="28"/>
        </w:rPr>
        <w:t>. Vai trò của việc phát hành cổ phiếu ra công chúng:</w:t>
      </w:r>
    </w:p>
    <w:p w14:paraId="0DDDDC0A"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Phát hành cổ phiếu ra công chúng sẽ làm tăng đáng kể lượng tiền mặt. Những cổ phiếu được phát hành và giao dịch công khai cũng sẽ mở ra nhiều cơ hội tài chính cho doanh nghiệp:</w:t>
      </w:r>
    </w:p>
    <w:p w14:paraId="134F2422" w14:textId="77777777" w:rsidR="0052513C" w:rsidRPr="00EE68EF" w:rsidRDefault="0052513C" w:rsidP="004A34DD">
      <w:pPr>
        <w:numPr>
          <w:ilvl w:val="0"/>
          <w:numId w:val="27"/>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Do đã trải qua sự kiểm duyệt kỹ lưỡng của SEC nên công ty đại chúng thường sẽ nhận được mức giá tốt hơn khi phát hành trái phiếu doanh nghiệp.</w:t>
      </w:r>
    </w:p>
    <w:p w14:paraId="5E29DE2D" w14:textId="77777777" w:rsidR="0052513C" w:rsidRPr="00EE68EF" w:rsidRDefault="0052513C" w:rsidP="004A34DD">
      <w:pPr>
        <w:numPr>
          <w:ilvl w:val="0"/>
          <w:numId w:val="27"/>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Miễn là thị trường có nhu cầu, công ty đại chúng luôn luôn có thể phát hành nhiều cổ phiếu hơn. Vì vậy, sáp nhập và mua lại được tiến hành dễ dàng hơn do cổ phiếu có thể được ban hành như là một phần của thỏa thuận.</w:t>
      </w:r>
    </w:p>
    <w:p w14:paraId="073D5C89" w14:textId="77777777" w:rsidR="0052513C" w:rsidRPr="00EE68EF" w:rsidRDefault="0052513C" w:rsidP="004A34DD">
      <w:pPr>
        <w:numPr>
          <w:ilvl w:val="0"/>
          <w:numId w:val="27"/>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Kinh doanh trong thị trường mở đồng nghĩa với tính thanh khoản tăng. Điều này khiến công ty có thể thực hiện những việc như kế hoạch sở hữu cổ phần cho nhân viên, giúp thu hút người tài.</w:t>
      </w:r>
    </w:p>
    <w:p w14:paraId="5813B4BB"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Có mặt trên thị trường chứng khoán giúp công ty khẳng định được danh tiếng, uy tín do đó hưởng được nhiều lợi ích khi cần huy động vốn ngoài xã hội. Trước đây, chỉ có công ty tư nhân với những nền tảng tài chính mạnh mới có thể hội đủ điều kiện để tiến tới IPO nhưng cũng không hề dễ dàng để được lên sàn chứng khoán. Sự bùng nổ Internet đã thay đổi tất cả điều này.</w:t>
      </w:r>
    </w:p>
    <w:p w14:paraId="07095649"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công ty không còn cần nền tảng tài chính mạnh và lịch sử vững chắc để phát hành ra công chúng. Thay vào đó, IPO đã được tiến hành bởi những công ty mới nổi nhỏ hơn đang tìm kiếm cơ hội mở rộng kinh doanh. Nhưng phần lớn những doanh nghiệp này chưa từng tạo ra lợi nhuận và chưa có kế hoạch tạo ra lợi nhuận trong thời gian trước mắt.</w:t>
      </w:r>
    </w:p>
    <w:p w14:paraId="0C3FD4A9"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Thành lập trên cơ sở vốn chịu rủi ro, những công ty này sau khi đã nhận được lượng vốn đầu tư lớn từ công cuộc IPO sẽ ngay lập tức tiêu pha quá trớn hoặc bỏ túi riêng thay vì dùng tiền cho việc đầu tư và phát triển doanh nghiệp. Trong những trường hợp như vậy, các công ty sẽ bị nghi ngờ và cho rằng tiến hành IPO chỉ nhằm làm giàu cho người sáng lập.</w:t>
      </w:r>
    </w:p>
    <w:p w14:paraId="07CE1C55" w14:textId="0026AEB7" w:rsidR="0052513C" w:rsidRPr="00F060EB" w:rsidRDefault="002F68E8" w:rsidP="004A34DD">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
          <w:bCs/>
          <w:i/>
          <w:color w:val="000000" w:themeColor="text1"/>
          <w:sz w:val="28"/>
          <w:szCs w:val="28"/>
        </w:rPr>
        <w:t>5</w:t>
      </w:r>
      <w:r w:rsidR="0052513C" w:rsidRPr="00F060EB">
        <w:rPr>
          <w:rFonts w:ascii="Times New Roman" w:eastAsia="Times New Roman" w:hAnsi="Times New Roman" w:cs="Times New Roman"/>
          <w:b/>
          <w:bCs/>
          <w:i/>
          <w:color w:val="000000" w:themeColor="text1"/>
          <w:sz w:val="28"/>
          <w:szCs w:val="28"/>
        </w:rPr>
        <w:t>. Các hình thức chào bán cổ phần:</w:t>
      </w:r>
    </w:p>
    <w:p w14:paraId="0921A08E" w14:textId="77777777" w:rsidR="0052513C" w:rsidRPr="00EB4559" w:rsidRDefault="0052513C" w:rsidP="004A34DD">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B4559">
        <w:rPr>
          <w:rFonts w:ascii="Times New Roman" w:eastAsia="Times New Roman" w:hAnsi="Times New Roman" w:cs="Times New Roman"/>
          <w:bCs/>
          <w:i/>
          <w:color w:val="000000" w:themeColor="text1"/>
          <w:sz w:val="28"/>
          <w:szCs w:val="28"/>
        </w:rPr>
        <w:t>Chào bán cổ phần cho cổ đông hiện hữu</w:t>
      </w:r>
    </w:p>
    <w:p w14:paraId="6A19197C"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Chào bán cổ phần cho cổ đông hiện hữu của công ty cổ phần không phải là công ty đại chúng được thực hiện như sau:</w:t>
      </w:r>
    </w:p>
    <w:p w14:paraId="5FF3A933"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lastRenderedPageBreak/>
        <w:t>– Công ty phải thông báo bằng văn bản đến cổ đông theo phương thức để bảo đảm đến được địa chỉ liên lạc của họ trong sổ đăng ký cổ đông chậm nhất là 15 ngày trước ngày kết thúc thời hạn đăng ký mua cổ phần;</w:t>
      </w:r>
    </w:p>
    <w:p w14:paraId="21AEECBC"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 Thông báo phải gồm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cổ phần và tỷ lệ sở hữu cổ phần hiện có của cổ đông tại công ty; tổng số cổ phần dự kiến chào bán và số cổ phần cổ đông được quyền mua; giá chào bán cổ phần; thời hạn đăng ký mua; họ, tên, chữ ký của người đại diện theo pháp luật của công ty. Kèm theo thông báo phải có mẫu phiếu đăng ký mua cổ phần do công ty phát hành. Trường hợp phiếu đăng ký mua cổ phần không được gửi về công ty đúng hạn theo thông báo thì cổ đông đó coi như đã không nhận quyền ưu tiên mua;</w:t>
      </w:r>
    </w:p>
    <w:p w14:paraId="4EBCAEA7"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 Cổ đông có quyền chuyển quyền ưu tiên mua cổ phần của mình cho người khác.</w:t>
      </w:r>
    </w:p>
    <w:p w14:paraId="37852C03" w14:textId="77777777" w:rsidR="0052513C" w:rsidRPr="00EB4559" w:rsidRDefault="0052513C" w:rsidP="004A34DD">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B4559">
        <w:rPr>
          <w:rFonts w:ascii="Times New Roman" w:eastAsia="Times New Roman" w:hAnsi="Times New Roman" w:cs="Times New Roman"/>
          <w:bCs/>
          <w:i/>
          <w:color w:val="000000" w:themeColor="text1"/>
          <w:sz w:val="28"/>
          <w:szCs w:val="28"/>
        </w:rPr>
        <w:t>Chào bán cổ phần riêng lẻ</w:t>
      </w:r>
    </w:p>
    <w:p w14:paraId="0AF645C9"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Công ty cổ phần không phải là công ty đại chúng thực hiện chào bán cổ phần riêng lẻ theo quy định sau đây:</w:t>
      </w:r>
    </w:p>
    <w:p w14:paraId="24DFE991"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 Công ty quyết định phương án chào bán cổ phần riêng lẻ theo quy định của Luật này;</w:t>
      </w:r>
    </w:p>
    <w:p w14:paraId="3D102655"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 Cổ đông của công ty thực hiện quyền ưu tiên mua cổ phần theo quy định tại khoản 2 Điều 124 của Luật này, trừ trường hợp sáp nhập, hợp nhất công ty;</w:t>
      </w:r>
    </w:p>
    <w:p w14:paraId="2F9B6FBC" w14:textId="77777777" w:rsidR="0052513C" w:rsidRPr="00EE68EF" w:rsidRDefault="0052513C"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lang w:val="vi-VN"/>
        </w:rPr>
        <w:t>– Trường hợp cổ đông và người nhận chuyển quyền ưu tiên mua không mua hết thì số cổ phần còn lại được bán cho người khác theo phương án chào bán cổ phần riêng lẻ với điều kiện không thuận lợi hơn so với điều kiện chào bán cho các cổ đông, trừ trường hợp Đại hội đồng cổ đông có chấp thuận khác.</w:t>
      </w:r>
    </w:p>
    <w:p w14:paraId="23EBED92" w14:textId="6AD75860" w:rsidR="004D627E" w:rsidRPr="00EB4559" w:rsidRDefault="00EB4559" w:rsidP="004A34DD">
      <w:pPr>
        <w:shd w:val="clear" w:color="auto" w:fill="FFFFFF"/>
        <w:spacing w:after="0" w:line="288" w:lineRule="auto"/>
        <w:ind w:firstLine="720"/>
        <w:jc w:val="both"/>
        <w:outlineLvl w:val="0"/>
        <w:rPr>
          <w:rFonts w:ascii="Times New Roman" w:eastAsia="Times New Roman" w:hAnsi="Times New Roman" w:cs="Times New Roman"/>
          <w:b/>
          <w:bCs/>
          <w:color w:val="000000" w:themeColor="text1"/>
          <w:kern w:val="36"/>
          <w:sz w:val="28"/>
          <w:szCs w:val="28"/>
        </w:rPr>
      </w:pPr>
      <w:r w:rsidRPr="00EB4559">
        <w:rPr>
          <w:rFonts w:ascii="Times New Roman" w:eastAsia="Times New Roman" w:hAnsi="Times New Roman" w:cs="Times New Roman"/>
          <w:b/>
          <w:bCs/>
          <w:color w:val="000000" w:themeColor="text1"/>
          <w:kern w:val="36"/>
          <w:sz w:val="28"/>
          <w:szCs w:val="28"/>
        </w:rPr>
        <w:t xml:space="preserve">II. </w:t>
      </w:r>
      <w:r w:rsidR="004D627E" w:rsidRPr="00EB4559">
        <w:rPr>
          <w:rFonts w:ascii="Times New Roman" w:eastAsia="Times New Roman" w:hAnsi="Times New Roman" w:cs="Times New Roman"/>
          <w:b/>
          <w:bCs/>
          <w:color w:val="000000" w:themeColor="text1"/>
          <w:kern w:val="36"/>
          <w:sz w:val="28"/>
          <w:szCs w:val="28"/>
        </w:rPr>
        <w:t>Quy định về niêm yết chứng khoán của tổ chức phát hành trong nước</w:t>
      </w:r>
    </w:p>
    <w:p w14:paraId="7BD8F2D7" w14:textId="77777777" w:rsidR="004D627E" w:rsidRPr="00F060EB" w:rsidRDefault="004D627E" w:rsidP="004A34DD">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
          <w:bCs/>
          <w:i/>
          <w:color w:val="000000" w:themeColor="text1"/>
          <w:sz w:val="28"/>
          <w:szCs w:val="28"/>
        </w:rPr>
        <w:t>1. Các loại chứng khoán</w:t>
      </w:r>
    </w:p>
    <w:p w14:paraId="4CE91FAF"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i/>
          <w:iCs/>
          <w:color w:val="000000" w:themeColor="text1"/>
          <w:sz w:val="28"/>
          <w:szCs w:val="28"/>
        </w:rPr>
        <w:t>Chứng khoán</w:t>
      </w:r>
      <w:r w:rsidRPr="00EB4559">
        <w:rPr>
          <w:rFonts w:ascii="Times New Roman" w:eastAsia="Times New Roman" w:hAnsi="Times New Roman" w:cs="Times New Roman"/>
          <w:color w:val="000000" w:themeColor="text1"/>
          <w:sz w:val="28"/>
          <w:szCs w:val="28"/>
        </w:rPr>
        <w:t> là tài sản, bao gồm các loại sau đây:</w:t>
      </w:r>
    </w:p>
    <w:p w14:paraId="267166E6"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Cổ phiếu, trái phiếu, chứng chỉ quỹ;</w:t>
      </w:r>
    </w:p>
    <w:p w14:paraId="678555B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Chứng quyền, chứng quyền có bảo đảm, quyền mua cổ phần, chứng chỉ lưu ký;</w:t>
      </w:r>
    </w:p>
    <w:p w14:paraId="0136A80D"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Chứng khoán phái sinh;</w:t>
      </w:r>
    </w:p>
    <w:p w14:paraId="28D9A848"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Các loại chứng khoán khác do Chính phủ quy định.</w:t>
      </w:r>
    </w:p>
    <w:p w14:paraId="4119966B"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(Khoản 1 Điều 4 </w:t>
      </w:r>
      <w:hyperlink r:id="rId54" w:tgtFrame="_blank" w:history="1">
        <w:r w:rsidRPr="00EB4559">
          <w:rPr>
            <w:rFonts w:ascii="Times New Roman" w:eastAsia="Times New Roman" w:hAnsi="Times New Roman" w:cs="Times New Roman"/>
            <w:color w:val="000000" w:themeColor="text1"/>
            <w:sz w:val="28"/>
            <w:szCs w:val="28"/>
          </w:rPr>
          <w:t>Luật Chứng khoán 2019</w:t>
        </w:r>
      </w:hyperlink>
      <w:r w:rsidRPr="00EB4559">
        <w:rPr>
          <w:rFonts w:ascii="Times New Roman" w:eastAsia="Times New Roman" w:hAnsi="Times New Roman" w:cs="Times New Roman"/>
          <w:color w:val="000000" w:themeColor="text1"/>
          <w:sz w:val="28"/>
          <w:szCs w:val="28"/>
        </w:rPr>
        <w:t>)</w:t>
      </w:r>
    </w:p>
    <w:p w14:paraId="0DAC580F" w14:textId="77777777" w:rsidR="004D627E" w:rsidRPr="00F060EB" w:rsidRDefault="004D627E" w:rsidP="004A34DD">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
          <w:bCs/>
          <w:i/>
          <w:color w:val="000000" w:themeColor="text1"/>
          <w:sz w:val="28"/>
          <w:szCs w:val="28"/>
        </w:rPr>
        <w:t>2. Quy định chung về niêm yết chứng khoán</w:t>
      </w:r>
    </w:p>
    <w:p w14:paraId="27BAF6B1"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Tại Điều 107 </w:t>
      </w:r>
      <w:hyperlink r:id="rId55"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 quy định chung về niêm yết chứng khoán như sau:</w:t>
      </w:r>
    </w:p>
    <w:p w14:paraId="4A96A377"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Báo cáo tài chính của tổ chức đăng ký niêm yết phải tuân thủ các quy định sau:</w:t>
      </w:r>
    </w:p>
    <w:p w14:paraId="1009EACB"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Báo cáo tài chính được lập theo pháp luật kế toán.</w:t>
      </w:r>
    </w:p>
    <w:p w14:paraId="67812A10"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Trường hợp tổ chức đăng ký niêm yết là công ty mẹ, tổ chức đăng ký niêm yết phải nộp báo cáo tài chính hợp nhất và báo cáo tài chính công ty mẹ.</w:t>
      </w:r>
    </w:p>
    <w:p w14:paraId="61378A1E"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Trường hợp tổ chức đăng ký niêm yết là đơn vị kế toán cấp trên có các đơn vị trực thuộc không có tư cách pháp nhân, tổ chức đăng ký niêm yết phải nộp báo cáo tài chính tổng hợp;</w:t>
      </w:r>
    </w:p>
    <w:p w14:paraId="2ABA86B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Báo cáo tài chính năm phải được kiểm toán bởi tổ chức kiểm toán được chấp thuận.</w:t>
      </w:r>
    </w:p>
    <w:p w14:paraId="50CF61A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Ý kiến kiểm toán đối với các báo cáo tài chính là ý kiến chấp nhận toàn phần; trường hợp ý kiến kiểm toán là ý kiến ngoại trừ thì khoản ngoại trừ không ảnh hưởng đến điều kiện niêm yết;</w:t>
      </w:r>
    </w:p>
    <w:p w14:paraId="3EE1A2C6"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Tổ chức đăng ký niêm yết phải có tài liệu giải thích hợp lý và có xác nhận của tổ chức kiểm toán về các khoản ngoại trừ không ảnh hưởng đến các điều kiện niêm yết;</w:t>
      </w:r>
    </w:p>
    <w:p w14:paraId="712E69BB"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hợp nhất, sáp nhập:</w:t>
      </w:r>
    </w:p>
    <w:p w14:paraId="1C9B290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Báo cáo tài chính kỳ kế toán cuối cùng từ ngày bắt đầu năm tài chính đến thời điểm hợp nhất của các công ty tham gia hợp nhất và báo cáo tài chính kỳ kế toán đầu tiên từ thời điểm hợp nhất đến thời điểm kết thúc năm tài chính của công ty hợp nhất phải đáp ứng quy định tại điểm b khoản 1 Điều 107 </w:t>
      </w:r>
      <w:hyperlink r:id="rId56"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w:t>
      </w:r>
    </w:p>
    <w:p w14:paraId="07823316"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Báo cáo tài chính năm của các công ty tham gia hợp nhất, sáp nhập phải được kiểm toán bởi tổ chức kiểm toán được chấp thuận;</w:t>
      </w:r>
    </w:p>
    <w:p w14:paraId="28EE8D4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thời điểm gửi hồ sơ đăng ký niêm yết đầy đủ và hợp lệ đến Sở giao dịch chứng khoán quá thời hạn công bố thông tin báo cáo tài chính quý theo quy định cho công ty niêm yết, tổ chức đăng ký niêm yết phải bổ sung báo cáo tài chính của quý đó.</w:t>
      </w:r>
    </w:p>
    <w:p w14:paraId="62AF0F7F"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Trường hợp đăng ký niêm yết sau ngày kết thúc của kỳ lập báo cáo tài chính bán niên, tổ chức đăng ký niêm yết phải bổ sung báo cáo tài chính bán niên được soát xét bởi tổ chức kiểm toán được chấp thuận;</w:t>
      </w:r>
    </w:p>
    <w:p w14:paraId="70F25D2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sau kỳ kế toán gần nhất được kiểm toán, tổ chức đăng ký niêm yết thực hiện phát hành tăng vốn điều lệ (trừ trường hợp phát hành cổ phiếu để trả cổ tức, phát hành cổ phiếu để tăng vốn cổ phần từ nguồn vốn chủ sở hữu, phát hành cổ phiếu thưởng cho người lao động, phát hành cổ phiếu để chuyển đổi trái phiếu), tổ chức đăng ký niêm yết phải bổ sung báo cáo vốn chủ sở hữu đã được kiểm toán bởi tổ chức kiểm toán được chấp thuận hoặc báo cáo tài chính đã được kiểm toán bởi tổ chức kiểm toán được chấp thuận.</w:t>
      </w:r>
    </w:p>
    <w:p w14:paraId="1CEC1E66"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Báo cáo tổng hợp thông tin tài chính theo quy ước phải được đảm bảo bởi tổ chức kiểm toán được chấp thuận với ý kiến chấp nhận toàn phần.</w:t>
      </w:r>
    </w:p>
    <w:p w14:paraId="2956ED52"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Tỷ lệ lợi nhuận sau thuế trên vốn chủ sở hữu (ROE) được tính bằng tỷ lệ phần trăm giữa lợi nhuận sau thuế so với vốn chủ sở hữu bình quân trong năm của doanh nghiệp, trong đó:</w:t>
      </w:r>
    </w:p>
    <w:p w14:paraId="06DB3A75"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tổ chức đăng ký niêm yết là công ty mẹ, ROE được xác định căn cứ vào báo cáo tài chính hợp nhất, trong đó chỉ tiêu lợi nhuận sau thuế là lợi nhuận sau thuế của cổ đông công ty mẹ và vốn chủ sở hữu được xác định sau khi đã loại trừ lợi ích của cổ đông không kiểm soát.</w:t>
      </w:r>
    </w:p>
    <w:p w14:paraId="235E61E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Trường hợp tổ chức đăng ký niêm yết là đơn vị kế toán cấp trên có các đơn vị trực thuộc không có tư cách pháp nhân, chỉ tiêu lợi nhuận sau thuế của tổ chức đăng ký niêm yết được xác định tại báo cáo tài chính tổng hợp;</w:t>
      </w:r>
    </w:p>
    <w:p w14:paraId="76DF057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trong năm có hoạt động chuyển đổi loại hình doanh nghiệp, hợp nhất, sáp nhập, tách công ty, chỉ tiêu lợi nhuận sau thuế là tổng lợi nhuận sau thuế của các giai đoạn trong năm liền trước năm đăng ký niêm yết được xác định tại báo cáo tài chính kiểm toán trong từng giai đoạn hoạt động, chỉ tiêu vốn chủ sở hữu được tính bình quân vốn chủ sở hữu đầu kỳ, vốn chủ sở hữu cuối kỳ của các giai đoạn hoạt động;</w:t>
      </w:r>
    </w:p>
    <w:p w14:paraId="64E11CDD"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Trường hợp tổ chức đăng ký niêm yết là công ty đại chúng hình thành sau hợp nhất, sáp nhập, chia, tách và các trường hợp cơ cấu lại khác, tỷ lệ ROE dương được xác định dựa trên lợi nhuận sau thuế dương và vốn chủ sở hữu bình quân dương;</w:t>
      </w:r>
    </w:p>
    <w:p w14:paraId="2B1D2F8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 Vốn chủ sở hữu bình quân là bình quân vốn chủ sở hữu đầu kỳ và cuối kỳ, không bao gồm nguồn kinh phí và quỹ khác được xác định trên cơ sở báo cáo tài chính đã được kiểm toán theo quy định tại khoản 1 Điều 107 </w:t>
      </w:r>
      <w:hyperlink r:id="rId57"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w:t>
      </w:r>
    </w:p>
    <w:p w14:paraId="19B49DA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(Điều 107 </w:t>
      </w:r>
      <w:hyperlink r:id="rId58"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w:t>
      </w:r>
    </w:p>
    <w:p w14:paraId="41106961" w14:textId="77777777" w:rsidR="004D627E" w:rsidRPr="00F060EB" w:rsidRDefault="004D627E" w:rsidP="004A34DD">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
          <w:bCs/>
          <w:i/>
          <w:color w:val="000000" w:themeColor="text1"/>
          <w:sz w:val="28"/>
          <w:szCs w:val="28"/>
        </w:rPr>
        <w:t>3. Phân bảng niêm yết chứng khoán</w:t>
      </w:r>
    </w:p>
    <w:p w14:paraId="2DA78F0C"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Tại Điều 108 </w:t>
      </w:r>
      <w:hyperlink r:id="rId59"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 quy định về chứng khoán niêm yết được tổ chức phân bảng theo các khu vực thị trường riêng biệt như sau:</w:t>
      </w:r>
    </w:p>
    <w:p w14:paraId="10278CE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Bảng niêm yết cổ phiếu, chứng chỉ quỹ, chứng quyền có bảo đảm, chứng chỉ lưu ký không có quyền biểu quyết và các sản phẩm tài chính khác;</w:t>
      </w:r>
    </w:p>
    <w:p w14:paraId="5855A068"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Bảng niêm yết công cụ nợ;</w:t>
      </w:r>
    </w:p>
    <w:p w14:paraId="67F7A6D9"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Bảng niêm yết trái phiếu doanh nghiệp;</w:t>
      </w:r>
    </w:p>
    <w:p w14:paraId="22C8B058"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Bảng niêm yết chứng khoán phái sinh.</w:t>
      </w:r>
    </w:p>
    <w:p w14:paraId="0821EDD3" w14:textId="77777777" w:rsidR="004D627E" w:rsidRPr="00F060EB" w:rsidRDefault="004D627E" w:rsidP="004A34DD">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sidRPr="00F060EB">
        <w:rPr>
          <w:rFonts w:ascii="Times New Roman" w:eastAsia="Times New Roman" w:hAnsi="Times New Roman" w:cs="Times New Roman"/>
          <w:b/>
          <w:bCs/>
          <w:i/>
          <w:color w:val="000000" w:themeColor="text1"/>
          <w:sz w:val="28"/>
          <w:szCs w:val="28"/>
        </w:rPr>
        <w:t>4.</w:t>
      </w:r>
      <w:r w:rsidRPr="00F060EB">
        <w:rPr>
          <w:rFonts w:ascii="Times New Roman" w:eastAsia="Times New Roman" w:hAnsi="Times New Roman" w:cs="Times New Roman"/>
          <w:i/>
          <w:color w:val="000000" w:themeColor="text1"/>
          <w:sz w:val="28"/>
          <w:szCs w:val="28"/>
        </w:rPr>
        <w:t> </w:t>
      </w:r>
      <w:r w:rsidRPr="00F060EB">
        <w:rPr>
          <w:rFonts w:ascii="Times New Roman" w:eastAsia="Times New Roman" w:hAnsi="Times New Roman" w:cs="Times New Roman"/>
          <w:b/>
          <w:bCs/>
          <w:i/>
          <w:color w:val="000000" w:themeColor="text1"/>
          <w:sz w:val="28"/>
          <w:szCs w:val="28"/>
        </w:rPr>
        <w:t>Điều kiện niêm yết cổ phiếu</w:t>
      </w:r>
    </w:p>
    <w:p w14:paraId="18AD6091"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Tại Điều 109 </w:t>
      </w:r>
      <w:hyperlink r:id="rId60"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 quy định về điều kiện niêm yết cổ phiếu như sau:</w:t>
      </w:r>
    </w:p>
    <w:p w14:paraId="4E5E54E5"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Là công ty cổ phần có vốn điều lệ đã góp tại thời điểm đăng ký niêm yết từ 30 tỷ đồng trở lên căn cứ trên báo cáo tài chính gần nhất được kiểm toán, đồng thời giá trị vốn hóa đạt tối thiểu 30 tỷ đồng tính theo bình quân gia quyền giá thanh toán cổ phiếu trong đợt chào bán ra công chúng gần nhất theo quy định </w:t>
      </w:r>
      <w:hyperlink r:id="rId61" w:tgtFrame="_blank" w:history="1">
        <w:r w:rsidRPr="00EB4559">
          <w:rPr>
            <w:rFonts w:ascii="Times New Roman" w:eastAsia="Times New Roman" w:hAnsi="Times New Roman" w:cs="Times New Roman"/>
            <w:color w:val="000000" w:themeColor="text1"/>
            <w:sz w:val="28"/>
            <w:szCs w:val="28"/>
          </w:rPr>
          <w:t>Nghị định 155/2020/NĐ-CP</w:t>
        </w:r>
      </w:hyperlink>
      <w:r w:rsidRPr="00EB4559">
        <w:rPr>
          <w:rFonts w:ascii="Times New Roman" w:eastAsia="Times New Roman" w:hAnsi="Times New Roman" w:cs="Times New Roman"/>
          <w:color w:val="000000" w:themeColor="text1"/>
          <w:sz w:val="28"/>
          <w:szCs w:val="28"/>
        </w:rPr>
        <w:t> hoặc giá tham chiếu cổ phiếu giao dịch trên hệ thống giao dịch Upcom trung bình 30 phiên gần nhất trước thời điểm nộp hồ sơ đăng ký niêm yết hoặc bình quân giá quyền giá thanh toán trong đợt bán cổ phần lần đầu của doanh nghiệp cổ phần hóa;</w:t>
      </w:r>
    </w:p>
    <w:p w14:paraId="13EBB43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Đã được Đại hội đồng cổ đông thông qua việc niêm yết; đã giao dịch trên hệ thống giao dịch Upcom tối thiểu 02 năm, trừ trường hợp tổ chức đăng ký niêm yết đã chào bán cổ phiếu ra công chúng, doanh nghiệp cổ phần hóa;</w:t>
      </w:r>
    </w:p>
    <w:p w14:paraId="546CEEA7"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Tỷ lệ lợi nhuận sau thuế trên vốn chủ sở hữu (ROE) năm liền trước năm đăng ký niêm yết tối thiểu là 5% và hoạt động kinh doanh của 02 năm liền trước năm đăng ký niêm yết phải có lãi;</w:t>
      </w:r>
    </w:p>
    <w:p w14:paraId="720C6C9C"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Không có các khoản nợ phải trả quá hạn trên 01 năm tính đến thời điểm đăng ký niêm yết;</w:t>
      </w:r>
    </w:p>
    <w:p w14:paraId="61AF84BF"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Không có lỗ lũy kế căn cứ trên báo cáo tài chính năm gần nhất được kiểm toán hoặc báo cáo tài chính bán niên được soát xét trong trường hợp đăng ký niêm yết sau ngày kết thúc của kỳ lập báo cáo tài chính bán niên;</w:t>
      </w:r>
    </w:p>
    <w:p w14:paraId="258478C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Trừ trường hợp doanh nghiệp cổ phần hóa, tổ chức đăng ký niêm yết phải có tối thiểu 15% số cổ phiếu có quyền biểu quyết do ít nhất 100 cổ đông không phải cổ đông lớn nắm giữ;</w:t>
      </w:r>
    </w:p>
    <w:p w14:paraId="6619C7D3"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Trường hợp vốn điều lệ của tổ chức đăng ký niêm yết từ 1.000 tỷ đồng trở lên, tỷ lệ tối thiểu là 10% số cổ phiếu có quyền biểu quyết;</w:t>
      </w:r>
    </w:p>
    <w:p w14:paraId="0613D494"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Cổ đông là cá nhân, tổ chức có đại diện sở hữu là Chủ tịch Hội đồng quản trị, thành viên Hội đồng quản trị, Trưởng Ban kiểm soát và thành viên Ban Kiểm soát (Kiểm soát viên), Tổng giám đốc (Giám đốc), Phó Tổng giám đốc (Phó Giám đốc), Kế toán trưởng, Giám đốc tài chính và các chức danh quản lý tương đương do Đại hội đồng cổ đông bầu hoặc Hội đồng quản trị bổ nhiệm và cổ đông lớn là:</w:t>
      </w:r>
    </w:p>
    <w:p w14:paraId="41CEECF6"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Người có liên quan của các đối tượng trên phải cam kết tiếp tục nắm giữ 100% số cổ phiếu do mình sở hữu trong thời gian 06 tháng kể từ ngày giao dịch đầu tiên của cổ phiếu trên Sở giao dịch chứng khoán và 50% số cổ phiếu này trong thời gian 06 tháng tiếp theo, không tính số cổ phiếu thuộc sở hữu nhà nước do các cá nhân trên đại diện nắm giữ;</w:t>
      </w:r>
    </w:p>
    <w:p w14:paraId="3A655FE0"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Công ty, người đại diện theo pháp luật của công ty không bị xử lý vi phạm trong thời hạn 02 năm tính đến thời điểm đăng ký niêm yết do thực hiện hành vi bị nghiêm cấm trong hoạt động về chứng khoán và thị trường chứng khoán quy định tại Điều 12 Luật Chứng khoán 2019;</w:t>
      </w:r>
    </w:p>
    <w:p w14:paraId="5E1BEB4A"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 Có công ty chứng khoán tư vấn hồ sơ đăng ký niêm yết, trừ trường hợp tổ chức đăng ký niêm yết là công ty chứng khoán.</w:t>
      </w:r>
    </w:p>
    <w:p w14:paraId="701E6AB2"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b/>
          <w:bCs/>
          <w:color w:val="000000" w:themeColor="text1"/>
          <w:sz w:val="28"/>
          <w:szCs w:val="28"/>
        </w:rPr>
        <w:t>Lưu ý: </w:t>
      </w:r>
      <w:r w:rsidRPr="00EB4559">
        <w:rPr>
          <w:rFonts w:ascii="Times New Roman" w:eastAsia="Times New Roman" w:hAnsi="Times New Roman" w:cs="Times New Roman"/>
          <w:color w:val="000000" w:themeColor="text1"/>
          <w:sz w:val="28"/>
          <w:szCs w:val="28"/>
        </w:rPr>
        <w:t>Việc phân loại, sắp xếp cổ phiếu niêm yết căn cứ vào các tiêu chí quy định tại quy chế niêm yết của Sở giao dịch chứng khoán Việt Nam, bao gồm:</w:t>
      </w:r>
    </w:p>
    <w:p w14:paraId="59F00F52" w14:textId="77777777" w:rsidR="004D627E" w:rsidRPr="00EB4559" w:rsidRDefault="004D627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Vốn điều lệ, giá trị vốn hóa, thời gian hoạt động, tình hình tài chính, cơ cấu cổ đông không phải là cổ đông lớn, quản trị công ty.</w:t>
      </w:r>
    </w:p>
    <w:p w14:paraId="4685934C" w14:textId="14C1BE1C" w:rsidR="00520FFF" w:rsidRPr="00EB4559" w:rsidRDefault="00520FFF"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i/>
          <w:iCs/>
          <w:color w:val="000000" w:themeColor="text1"/>
          <w:sz w:val="28"/>
          <w:szCs w:val="28"/>
          <w:bdr w:val="single" w:sz="2" w:space="0" w:color="E5E7EB" w:frame="1"/>
        </w:rPr>
        <w:t>Những lưu ý khi doanh nghiệp niêm yết trên sàn chứng khoán</w:t>
      </w:r>
    </w:p>
    <w:p w14:paraId="0D70A055" w14:textId="77777777" w:rsidR="00520FFF" w:rsidRPr="00EB4559" w:rsidRDefault="00520FFF"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Căn cứ Điều 111 Nghị định số 155/2020/NĐ-CP, thủ tục đăng ký niêm yết quy định như sau:</w:t>
      </w:r>
    </w:p>
    <w:p w14:paraId="34C38890" w14:textId="77777777" w:rsidR="00520FFF" w:rsidRPr="00EB4559" w:rsidRDefault="00520FFF" w:rsidP="00DC695D">
      <w:pPr>
        <w:numPr>
          <w:ilvl w:val="0"/>
          <w:numId w:val="36"/>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Trong thời hạn 30 ngày kể từ ngày nhận được hồ sơ đăng ký niêm yết cổ phiếu đầy đủ và hợp lệ, Sở giao dịch chứng khoán có quyết định chấp thuận niêm yết. Trong trường hợp từ chối phải trả lời bằng văn bản và nêu rõ lý do.</w:t>
      </w:r>
    </w:p>
    <w:p w14:paraId="4C5AD22E" w14:textId="77777777" w:rsidR="00520FFF" w:rsidRPr="00EB4559" w:rsidRDefault="00520FFF" w:rsidP="00DC695D">
      <w:pPr>
        <w:numPr>
          <w:ilvl w:val="0"/>
          <w:numId w:val="36"/>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Trong thời hạn 90 ngày kể từ ngày được chấp thuận niêm yết, công ty đăng ký niêm yết phải đưa chứng khoán vào giao dịch.</w:t>
      </w:r>
    </w:p>
    <w:p w14:paraId="62664F63" w14:textId="77777777" w:rsidR="00EB4559" w:rsidRPr="00F060EB" w:rsidRDefault="00EB4559" w:rsidP="00DC695D">
      <w:pPr>
        <w:spacing w:after="0" w:line="288" w:lineRule="auto"/>
        <w:ind w:firstLine="720"/>
        <w:jc w:val="both"/>
        <w:outlineLvl w:val="0"/>
        <w:rPr>
          <w:rFonts w:ascii="Times New Roman" w:eastAsia="Times New Roman" w:hAnsi="Times New Roman" w:cs="Times New Roman"/>
          <w:b/>
          <w:bCs/>
          <w:i/>
          <w:color w:val="000000" w:themeColor="text1"/>
          <w:spacing w:val="6"/>
          <w:kern w:val="36"/>
          <w:sz w:val="28"/>
          <w:szCs w:val="28"/>
        </w:rPr>
      </w:pPr>
      <w:r w:rsidRPr="00F060EB">
        <w:rPr>
          <w:rFonts w:ascii="Times New Roman" w:eastAsia="Times New Roman" w:hAnsi="Times New Roman" w:cs="Times New Roman"/>
          <w:b/>
          <w:bCs/>
          <w:i/>
          <w:color w:val="000000" w:themeColor="text1"/>
          <w:spacing w:val="6"/>
          <w:kern w:val="36"/>
          <w:sz w:val="28"/>
          <w:szCs w:val="28"/>
        </w:rPr>
        <w:t>Chi tiết điều kiện để được niêm yết trên sàn chứng khoán</w:t>
      </w:r>
    </w:p>
    <w:p w14:paraId="0A007431"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Tùy thuộc vào sàn giao dịch mà điều kiện để niêm yết trên các sàn chứng khoán sẽ khác nhau. Do đó, trước khi niêm yết trên sàn chứng khoán, doanh nghiệp cần nắm rõ được các điều kiện này. Theo dõi bài viết dưới đây để tìm hiểu chi tiết điều kiện niêm yết trên thị trường chứng khoán tùy theo từng sàn giao dịch nhé!</w:t>
      </w:r>
    </w:p>
    <w:p w14:paraId="4E762C81"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i/>
          <w:iCs/>
          <w:color w:val="000000" w:themeColor="text1"/>
          <w:sz w:val="28"/>
          <w:szCs w:val="28"/>
          <w:bdr w:val="single" w:sz="2" w:space="0" w:color="E5E7EB" w:frame="1"/>
        </w:rPr>
        <w:t>Điều kiện để niêm yết trên các sàn chứng khoán</w:t>
      </w:r>
    </w:p>
    <w:p w14:paraId="26962D40" w14:textId="77777777" w:rsidR="00EB4559" w:rsidRPr="00EB4559" w:rsidRDefault="00EB4559" w:rsidP="00DC695D">
      <w:pPr>
        <w:spacing w:after="0" w:line="288" w:lineRule="auto"/>
        <w:ind w:firstLine="720"/>
        <w:jc w:val="both"/>
        <w:outlineLvl w:val="1"/>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Điều kiện để niêm yết trên các sàn chứng khoán chung</w:t>
      </w:r>
    </w:p>
    <w:p w14:paraId="6A52C8AA" w14:textId="77777777" w:rsidR="00EB4559" w:rsidRPr="00EB4559" w:rsidRDefault="00EB4559" w:rsidP="00DC695D">
      <w:pPr>
        <w:spacing w:after="0" w:line="288" w:lineRule="auto"/>
        <w:ind w:firstLine="720"/>
        <w:jc w:val="both"/>
        <w:outlineLvl w:val="2"/>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Vốn điều lệ</w:t>
      </w:r>
    </w:p>
    <w:p w14:paraId="04E9087D"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Căn cứ theo quy định tại Điều 15 Luật chứng khoán 2019, vốn điều lệ đã góp tại thời điểm đăng ký chào bán từ 30 tỷ đồng trở lên. Mức vốn điều lệ này tính theo giá trị ghi trên sổ kế toán.</w:t>
      </w:r>
    </w:p>
    <w:p w14:paraId="7AF75802" w14:textId="77777777" w:rsidR="00EB4559" w:rsidRPr="00EB4559" w:rsidRDefault="00EB4559" w:rsidP="00DC695D">
      <w:pPr>
        <w:spacing w:after="0" w:line="288" w:lineRule="auto"/>
        <w:ind w:firstLine="720"/>
        <w:jc w:val="both"/>
        <w:outlineLvl w:val="2"/>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Thời gian và kết quả hoạt động</w:t>
      </w:r>
    </w:p>
    <w:p w14:paraId="7DF83231" w14:textId="77777777" w:rsidR="00EB4559" w:rsidRPr="00EB4559" w:rsidRDefault="00EB4559" w:rsidP="00DC695D">
      <w:pPr>
        <w:numPr>
          <w:ilvl w:val="0"/>
          <w:numId w:val="28"/>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Công ty Cổ phần có thời gian hoạt động trên 01 năm tính đến thời điểm đăng ký niêm yết. Ngoại trừ trường hợp Doanh nghiệp Nhà nước cổ phần hoá gắn với niêm yết.</w:t>
      </w:r>
    </w:p>
    <w:p w14:paraId="35AA908A" w14:textId="77777777" w:rsidR="00EB4559" w:rsidRPr="00EB4559" w:rsidRDefault="00EB4559" w:rsidP="00DC695D">
      <w:pPr>
        <w:numPr>
          <w:ilvl w:val="0"/>
          <w:numId w:val="28"/>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Tình hình hoạt động kinh doanh của 02 năm liên tục trước thời điểm đăng ký niêm yết có lãi. Bên cạnh đó tính đến năm đăng ký niêm yết, không có lỗ lũy kế.</w:t>
      </w:r>
    </w:p>
    <w:p w14:paraId="6B77D905" w14:textId="77777777" w:rsidR="00EB4559" w:rsidRPr="00EB4559" w:rsidRDefault="00EB4559" w:rsidP="00DC695D">
      <w:pPr>
        <w:numPr>
          <w:ilvl w:val="0"/>
          <w:numId w:val="28"/>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Doanh nghiệp yêu cầu niêm yết không thuộc trường hợp đang bị truy cứu trách nhiệm hình sự hoặc bị kết án về một trong các tội có liên quan đến xâm phạm trật tự quản lý kinh tế mà chưa được xoá án tích.</w:t>
      </w:r>
    </w:p>
    <w:p w14:paraId="6FCD7B51" w14:textId="77777777" w:rsidR="00EB4559" w:rsidRPr="00EB4559" w:rsidRDefault="00EB4559" w:rsidP="00DC695D">
      <w:pPr>
        <w:spacing w:after="0" w:line="288" w:lineRule="auto"/>
        <w:ind w:firstLine="720"/>
        <w:jc w:val="both"/>
        <w:outlineLvl w:val="2"/>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Cơ cấu cổ đông</w:t>
      </w:r>
    </w:p>
    <w:p w14:paraId="3900BED9" w14:textId="77777777" w:rsidR="00EB4559" w:rsidRPr="00EB4559" w:rsidRDefault="00EB4559" w:rsidP="00DC695D">
      <w:pPr>
        <w:numPr>
          <w:ilvl w:val="0"/>
          <w:numId w:val="29"/>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Phương án phát hành và phương án sử dụng vốn phải được Đại hội đồng cổ đông thông qua.</w:t>
      </w:r>
    </w:p>
    <w:p w14:paraId="6CA65E60" w14:textId="77777777" w:rsidR="00EB4559" w:rsidRPr="00EB4559" w:rsidRDefault="00EB4559" w:rsidP="00DC695D">
      <w:pPr>
        <w:numPr>
          <w:ilvl w:val="0"/>
          <w:numId w:val="29"/>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Tối thiểu 15% số cổ phiếu có quyền biểu quyết của Công ty phát hành phải được bán cho ít nhất 100 nhà đầu tư không phải cổ đông lớn. Nếu vốn điều lệ của công ty phát hành từ 1000 tỷ đồng trở lên, tỷ lệ tối thiểu là 10% số cổ phiếu có quyền biểu quyết của Công ty.</w:t>
      </w:r>
    </w:p>
    <w:p w14:paraId="457F7705" w14:textId="77777777" w:rsidR="00EB4559" w:rsidRPr="00EB4559" w:rsidRDefault="00EB4559" w:rsidP="00DC695D">
      <w:pPr>
        <w:numPr>
          <w:ilvl w:val="0"/>
          <w:numId w:val="29"/>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lastRenderedPageBreak/>
        <w:t>Trước khi doanh nghiệp chào bán cổ phiếu lần đầu ra công chúng, các cổ công lớn của công ty phải cam kết cùng nhau nắm giữ ít nhất 20% vốn điều lệ của công ty phát hành tối thiểu 01 năm kể từ thời điểm kết thúc đợt chào bán.</w:t>
      </w:r>
    </w:p>
    <w:p w14:paraId="4605D541" w14:textId="77777777" w:rsidR="00EB4559" w:rsidRPr="00EB4559" w:rsidRDefault="00EB4559" w:rsidP="00DC695D">
      <w:pPr>
        <w:spacing w:after="0" w:line="288" w:lineRule="auto"/>
        <w:ind w:firstLine="720"/>
        <w:jc w:val="both"/>
        <w:outlineLvl w:val="2"/>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Các điều kiện khác niêm yết khác</w:t>
      </w:r>
    </w:p>
    <w:p w14:paraId="68D301AB" w14:textId="77777777" w:rsidR="00EB4559" w:rsidRPr="00EB4559" w:rsidRDefault="00EB4559" w:rsidP="00DC695D">
      <w:pPr>
        <w:numPr>
          <w:ilvl w:val="0"/>
          <w:numId w:val="30"/>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Doanh nghiệp yêu cầu niêm yết phải có hồ sơ Đăng ký niêm yết cổ phiếu hợp lệ.</w:t>
      </w:r>
    </w:p>
    <w:p w14:paraId="01F3DBE9" w14:textId="77777777" w:rsidR="00EB4559" w:rsidRPr="00EB4559" w:rsidRDefault="00EB4559" w:rsidP="00DC695D">
      <w:pPr>
        <w:numPr>
          <w:ilvl w:val="0"/>
          <w:numId w:val="30"/>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Có công ty chứng khoán tư vấn hồ sơ đăng ký niêm yết cổ phiếu ra công chúng. Ngoại trừ công ty có yêu cầu niêm yết là công ty chứng khoán.</w:t>
      </w:r>
    </w:p>
    <w:p w14:paraId="03482482" w14:textId="77777777" w:rsidR="00EB4559" w:rsidRPr="00EB4559" w:rsidRDefault="00EB4559" w:rsidP="00DC695D">
      <w:pPr>
        <w:numPr>
          <w:ilvl w:val="0"/>
          <w:numId w:val="30"/>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Công ty chứng khoán phải mở tài khoản phong tỏa nhận tiền mua cổ phiếu của đợt chào bán lần đầu tiên ra công chúng. </w:t>
      </w:r>
    </w:p>
    <w:p w14:paraId="01AD3ED0" w14:textId="77777777" w:rsidR="00EB4559" w:rsidRPr="00EB4559" w:rsidRDefault="00EB4559" w:rsidP="00DC695D">
      <w:pPr>
        <w:numPr>
          <w:ilvl w:val="0"/>
          <w:numId w:val="30"/>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Công ty và người đại diện theo pháp luật không bị xử lý vi phạm do thực hiện hành vi bị nghiêm cấm trong hoạt động về chứng khoán và thị trường chứng khoán trong vòng 2 năm tính tới thời điểm đăng ký niêm yết. </w:t>
      </w:r>
    </w:p>
    <w:p w14:paraId="6E4F62C9" w14:textId="77777777" w:rsidR="00EB4559" w:rsidRPr="00EB4559" w:rsidRDefault="00EB4559" w:rsidP="00DC695D">
      <w:pPr>
        <w:spacing w:after="0" w:line="288" w:lineRule="auto"/>
        <w:ind w:firstLine="720"/>
        <w:jc w:val="both"/>
        <w:outlineLvl w:val="1"/>
        <w:rPr>
          <w:rFonts w:ascii="Times New Roman" w:eastAsia="Times New Roman" w:hAnsi="Times New Roman" w:cs="Times New Roman"/>
          <w:color w:val="000000" w:themeColor="text1"/>
          <w:spacing w:val="6"/>
          <w:sz w:val="28"/>
          <w:szCs w:val="28"/>
        </w:rPr>
      </w:pPr>
      <w:r w:rsidRPr="00EB4559">
        <w:rPr>
          <w:rFonts w:ascii="Times New Roman" w:eastAsia="Times New Roman" w:hAnsi="Times New Roman" w:cs="Times New Roman"/>
          <w:color w:val="000000" w:themeColor="text1"/>
          <w:spacing w:val="6"/>
          <w:sz w:val="28"/>
          <w:szCs w:val="28"/>
          <w:bdr w:val="single" w:sz="2" w:space="0" w:color="E5E7EB" w:frame="1"/>
        </w:rPr>
        <w:t>Điều kiện niêm yết trên các sàn chứng khoán cụ thể</w:t>
      </w:r>
    </w:p>
    <w:p w14:paraId="768D9831"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Trên thực tế, mỗi sàn chứng khoán sẽ có những điều kiện niêm yết riêng và chặt chẽ hơn. Dưới đây là điều kiện để được niêm yết trên một số sàn chứng khoán cụ thể: </w:t>
      </w:r>
    </w:p>
    <w:p w14:paraId="31148B82"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i/>
          <w:iCs/>
          <w:color w:val="000000" w:themeColor="text1"/>
          <w:sz w:val="28"/>
          <w:szCs w:val="28"/>
          <w:bdr w:val="single" w:sz="2" w:space="0" w:color="E5E7EB" w:frame="1"/>
        </w:rPr>
        <w:t>Điều kiện để niêm yết trên sàn chứng khoán HOSE</w:t>
      </w:r>
    </w:p>
    <w:p w14:paraId="7C38CFDE"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bdr w:val="single" w:sz="2" w:space="0" w:color="E5E7EB" w:frame="1"/>
        </w:rPr>
        <w:t>Vốn điều lệ</w:t>
      </w:r>
    </w:p>
    <w:p w14:paraId="2A8B6917"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Tại thời điểm đăng ký, vốn điều lệ từ 120 tỷ đồng trở lên tính theo báo cáo kiểm toán.</w:t>
      </w:r>
    </w:p>
    <w:p w14:paraId="414B717F" w14:textId="77777777" w:rsidR="00EB4559" w:rsidRPr="00EB4559"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bdr w:val="single" w:sz="2" w:space="0" w:color="E5E7EB" w:frame="1"/>
        </w:rPr>
        <w:t>Điều kiện về thời gian và tình hình hoạt động của công ty</w:t>
      </w:r>
    </w:p>
    <w:p w14:paraId="064DDC53" w14:textId="77777777" w:rsidR="00EB4559" w:rsidRPr="00EB4559" w:rsidRDefault="00EB4559" w:rsidP="00DC695D">
      <w:pPr>
        <w:numPr>
          <w:ilvl w:val="0"/>
          <w:numId w:val="31"/>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Thời gian hoạt động ít nhất 02 năm dưới hình thức Công ty Cổ phần.</w:t>
      </w:r>
    </w:p>
    <w:p w14:paraId="7409FEB1" w14:textId="77777777" w:rsidR="00EB4559" w:rsidRPr="00EB4559" w:rsidRDefault="00EB4559" w:rsidP="00DC695D">
      <w:pPr>
        <w:numPr>
          <w:ilvl w:val="0"/>
          <w:numId w:val="31"/>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Kết quả hoạt động 02 năm liền trước năm đăng ký niêm yết phải có lãi.</w:t>
      </w:r>
    </w:p>
    <w:p w14:paraId="3E7CC263" w14:textId="77777777" w:rsidR="00EB4559" w:rsidRPr="00EB4559" w:rsidRDefault="00EB4559" w:rsidP="00DC695D">
      <w:pPr>
        <w:numPr>
          <w:ilvl w:val="0"/>
          <w:numId w:val="31"/>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Tỷ suất lợi nhuận trên vốn chủ sở hữu (</w:t>
      </w:r>
      <w:hyperlink r:id="rId62" w:tgtFrame="_blank" w:history="1">
        <w:r w:rsidRPr="00EB4559">
          <w:rPr>
            <w:rFonts w:ascii="Times New Roman" w:eastAsia="Times New Roman" w:hAnsi="Times New Roman" w:cs="Times New Roman"/>
            <w:color w:val="000000" w:themeColor="text1"/>
            <w:sz w:val="28"/>
            <w:szCs w:val="28"/>
            <w:bdr w:val="single" w:sz="2" w:space="0" w:color="E5E7EB" w:frame="1"/>
          </w:rPr>
          <w:t>ROE</w:t>
        </w:r>
      </w:hyperlink>
      <w:r w:rsidRPr="00EB4559">
        <w:rPr>
          <w:rFonts w:ascii="Times New Roman" w:eastAsia="Times New Roman" w:hAnsi="Times New Roman" w:cs="Times New Roman"/>
          <w:color w:val="000000" w:themeColor="text1"/>
          <w:sz w:val="28"/>
          <w:szCs w:val="28"/>
        </w:rPr>
        <w:t>) tại thời điểm gần nhất tính tới thời điểm đăng ký niêm yết đạt tối thiểu 5%.</w:t>
      </w:r>
    </w:p>
    <w:p w14:paraId="533A33FE" w14:textId="77777777" w:rsidR="00EB4559" w:rsidRPr="00EB4559" w:rsidRDefault="00EB4559" w:rsidP="00DC695D">
      <w:pPr>
        <w:numPr>
          <w:ilvl w:val="0"/>
          <w:numId w:val="31"/>
        </w:numPr>
        <w:spacing w:after="0" w:line="288" w:lineRule="auto"/>
        <w:ind w:left="0" w:firstLine="720"/>
        <w:jc w:val="both"/>
        <w:rPr>
          <w:rFonts w:ascii="Times New Roman" w:eastAsia="Times New Roman" w:hAnsi="Times New Roman" w:cs="Times New Roman"/>
          <w:color w:val="000000" w:themeColor="text1"/>
          <w:sz w:val="28"/>
          <w:szCs w:val="28"/>
        </w:rPr>
      </w:pPr>
      <w:r w:rsidRPr="00EB4559">
        <w:rPr>
          <w:rFonts w:ascii="Times New Roman" w:eastAsia="Times New Roman" w:hAnsi="Times New Roman" w:cs="Times New Roman"/>
          <w:color w:val="000000" w:themeColor="text1"/>
          <w:sz w:val="28"/>
          <w:szCs w:val="28"/>
        </w:rPr>
        <w:t>Công ty không có nợ quá hạn trên 01 năm tính tới thời điểm đăng ký niêm yết.</w:t>
      </w:r>
    </w:p>
    <w:p w14:paraId="7AE983EB" w14:textId="77777777" w:rsidR="00EB4559" w:rsidRPr="00EE68EF" w:rsidRDefault="00EB4559" w:rsidP="00DC695D">
      <w:pPr>
        <w:numPr>
          <w:ilvl w:val="0"/>
          <w:numId w:val="31"/>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Tính tới thời điểm đăng ký niêm yết, công ty không có lỗ luỹ kế.</w:t>
      </w:r>
    </w:p>
    <w:p w14:paraId="6B76B6BE"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Cơ cấu cổ đông</w:t>
      </w:r>
    </w:p>
    <w:p w14:paraId="444D9846"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Phải có tối thiểu 20% cổ phiếu có quyền biểu quyết được nắm giữ bởi ít nhất 300 cổ đông không phải là cổ đông lớn.</w:t>
      </w:r>
    </w:p>
    <w:p w14:paraId="6FD79C01"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Điều kiện niêm yết khác</w:t>
      </w:r>
    </w:p>
    <w:p w14:paraId="3D88C5C1" w14:textId="77777777" w:rsidR="00EB4559" w:rsidRPr="00EE68EF" w:rsidRDefault="00EB4559" w:rsidP="00DC695D">
      <w:pPr>
        <w:numPr>
          <w:ilvl w:val="0"/>
          <w:numId w:val="32"/>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Các cổ đông lớn, cổ đông là tổ chức, cá nhân phải cam kết nắm giữ 100% số cổ phiếu trong vòng 6 tháng đầu và 50% số cổ phiếu trong 6 tháng tiếp theo. Ngoại trừ cổ phiếu thuộc quyền sở hữu của Nhà nước.</w:t>
      </w:r>
    </w:p>
    <w:p w14:paraId="43174C76" w14:textId="77777777" w:rsidR="00EB4559" w:rsidRPr="00EE68EF" w:rsidRDefault="00EB4559" w:rsidP="00DC695D">
      <w:pPr>
        <w:numPr>
          <w:ilvl w:val="0"/>
          <w:numId w:val="32"/>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của doanh nghiệp đã được giao dịch trên sàn UPCOM từ 2 năm trở lên. Trừ tổ chức đăng ký niêm yết đã chào bán cổ phiếu ra công chúng, doanh nghiệp cổ phần hóa.</w:t>
      </w:r>
    </w:p>
    <w:p w14:paraId="6FDD326A" w14:textId="77777777" w:rsidR="00EB4559" w:rsidRPr="00EE68EF" w:rsidRDefault="00EB4559" w:rsidP="00DC695D">
      <w:pPr>
        <w:numPr>
          <w:ilvl w:val="0"/>
          <w:numId w:val="32"/>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Hồ sơ đăng ký niêm yết phải hợp lệ theo quy định của Sở giao dịch chứng khoán TPHCM.</w:t>
      </w:r>
    </w:p>
    <w:p w14:paraId="13E40DC3" w14:textId="77777777" w:rsidR="00EB4559" w:rsidRPr="00EE68EF" w:rsidRDefault="00EB4559" w:rsidP="00DC695D">
      <w:pPr>
        <w:spacing w:after="0" w:line="288" w:lineRule="auto"/>
        <w:ind w:firstLine="720"/>
        <w:jc w:val="both"/>
        <w:outlineLvl w:val="2"/>
        <w:rPr>
          <w:rFonts w:ascii="Times New Roman" w:eastAsia="Times New Roman" w:hAnsi="Times New Roman" w:cs="Times New Roman"/>
          <w:color w:val="000000" w:themeColor="text1"/>
          <w:spacing w:val="6"/>
          <w:sz w:val="28"/>
          <w:szCs w:val="28"/>
        </w:rPr>
      </w:pPr>
      <w:r w:rsidRPr="00EE68EF">
        <w:rPr>
          <w:rFonts w:ascii="Times New Roman" w:eastAsia="Times New Roman" w:hAnsi="Times New Roman" w:cs="Times New Roman"/>
          <w:color w:val="000000" w:themeColor="text1"/>
          <w:spacing w:val="6"/>
          <w:sz w:val="28"/>
          <w:szCs w:val="28"/>
          <w:bdr w:val="single" w:sz="2" w:space="0" w:color="E5E7EB" w:frame="1"/>
        </w:rPr>
        <w:t>Điều kiện niêm yết trên sàn HNX</w:t>
      </w:r>
    </w:p>
    <w:p w14:paraId="2EF0B20E"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Vốn điều lệ</w:t>
      </w:r>
    </w:p>
    <w:p w14:paraId="62EB901C"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Tại thời điểm đăng ký, vốn điều lệ từ 30 tỷ đồng trở lên tính trên báo cáo kiểm toán.</w:t>
      </w:r>
    </w:p>
    <w:p w14:paraId="020477E3"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Điều kiện thời gian và tình hình hoạt động của công ty</w:t>
      </w:r>
    </w:p>
    <w:p w14:paraId="007800A8" w14:textId="77777777" w:rsidR="00EB4559" w:rsidRPr="00EE68EF" w:rsidRDefault="00EB4559" w:rsidP="00DC695D">
      <w:pPr>
        <w:numPr>
          <w:ilvl w:val="0"/>
          <w:numId w:val="33"/>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Công ty hoạt động ít nhất 01 năm dưới hình thức công ty cổ phần tại thời điểm đăng ký.</w:t>
      </w:r>
    </w:p>
    <w:p w14:paraId="16BDE190" w14:textId="77777777" w:rsidR="00EB4559" w:rsidRPr="00EE68EF" w:rsidRDefault="00EB4559" w:rsidP="00DC695D">
      <w:pPr>
        <w:numPr>
          <w:ilvl w:val="0"/>
          <w:numId w:val="33"/>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Năm liền trước năm đăng ký niêm yết trên sàn chứng khoán phải có lãi.</w:t>
      </w:r>
    </w:p>
    <w:p w14:paraId="0D830217" w14:textId="77777777" w:rsidR="00EB4559" w:rsidRPr="00EE68EF" w:rsidRDefault="00EB4559" w:rsidP="00DC695D">
      <w:pPr>
        <w:numPr>
          <w:ilvl w:val="0"/>
          <w:numId w:val="33"/>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Tỷ suất lợi nhuận trên vốn chủ sở hữu (ROE) tại thời điểm gần nhất tính tới thời điểm đăng ký niêm yết đạt tối thiểu 5%.</w:t>
      </w:r>
    </w:p>
    <w:p w14:paraId="75F3D638" w14:textId="77777777" w:rsidR="00EB4559" w:rsidRPr="00EE68EF" w:rsidRDefault="00EB4559" w:rsidP="00DC695D">
      <w:pPr>
        <w:numPr>
          <w:ilvl w:val="0"/>
          <w:numId w:val="33"/>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Không có nợ quá hạn trên 01 năm, không có lỗ luỹ kế tại thời điểm đăng ký niêm yết.</w:t>
      </w:r>
    </w:p>
    <w:p w14:paraId="266E18A4" w14:textId="77777777" w:rsidR="00EB4559" w:rsidRPr="00EE68EF" w:rsidRDefault="00EB4559" w:rsidP="00DC695D">
      <w:pPr>
        <w:numPr>
          <w:ilvl w:val="0"/>
          <w:numId w:val="33"/>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Công ty không thuộc trường hợp vi phạm pháp luật hay các vi phạm liên quan đến vấn đề kế toán và báo cáo tài chính.</w:t>
      </w:r>
    </w:p>
    <w:p w14:paraId="68B3FFA7"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Cơ cấu cổ đông</w:t>
      </w:r>
    </w:p>
    <w:p w14:paraId="5C638CB9"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Tối thiểu 15% cổ phiếu có quyền biểu quyết do ít nhất 100 cổ đông không phải là cổ đông lớn nắm giữ.</w:t>
      </w:r>
    </w:p>
    <w:p w14:paraId="721A73FD"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Các điều kiện niêm yết khác trên sàn HNX</w:t>
      </w:r>
    </w:p>
    <w:p w14:paraId="7BE0A87E" w14:textId="77777777" w:rsidR="00EB4559" w:rsidRPr="00EE68EF" w:rsidRDefault="00EB4559" w:rsidP="00DC695D">
      <w:pPr>
        <w:numPr>
          <w:ilvl w:val="0"/>
          <w:numId w:val="34"/>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cổ đông cá nhân, tổ chức và cổ đông lớn phải cam kết nắm giữ 100% số cổ phiếu trong 06 tháng đầu, 50% số cổ phiếu trong 06 tháng tiếp theo.</w:t>
      </w:r>
    </w:p>
    <w:p w14:paraId="74ACE614" w14:textId="77777777" w:rsidR="00EB4559" w:rsidRPr="00EE68EF" w:rsidRDefault="00EB4559" w:rsidP="00DC695D">
      <w:pPr>
        <w:numPr>
          <w:ilvl w:val="0"/>
          <w:numId w:val="34"/>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đã giao dịch trên sàn chứng khoán UPCOM tối thiểu 02 năm và được đại hội đồng cổ đông thông qua việc niêm yết. Trừ tổ chức đăng ký niêm yết đã chào bán cổ phiếu ra công chúng, doanh nghiệp cổ phần hóa.</w:t>
      </w:r>
    </w:p>
    <w:p w14:paraId="2803744B" w14:textId="77777777" w:rsidR="00EB4559" w:rsidRPr="00EE68EF" w:rsidRDefault="00EB4559" w:rsidP="00DC695D">
      <w:pPr>
        <w:numPr>
          <w:ilvl w:val="0"/>
          <w:numId w:val="34"/>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Hồ sơ đăng ký niêm yết phải hợp lệ theo quy định của Sở giao dịch chứng khoán Hà Nội.</w:t>
      </w:r>
    </w:p>
    <w:p w14:paraId="279131CC" w14:textId="77777777" w:rsidR="00EB4559" w:rsidRPr="00EE68EF" w:rsidRDefault="00EB4559" w:rsidP="00DC695D">
      <w:pPr>
        <w:spacing w:after="0" w:line="288" w:lineRule="auto"/>
        <w:ind w:firstLine="720"/>
        <w:jc w:val="both"/>
        <w:outlineLvl w:val="1"/>
        <w:rPr>
          <w:rFonts w:ascii="Times New Roman" w:eastAsia="Times New Roman" w:hAnsi="Times New Roman" w:cs="Times New Roman"/>
          <w:color w:val="000000" w:themeColor="text1"/>
          <w:spacing w:val="6"/>
          <w:sz w:val="28"/>
          <w:szCs w:val="28"/>
        </w:rPr>
      </w:pPr>
      <w:r w:rsidRPr="00EE68EF">
        <w:rPr>
          <w:rFonts w:ascii="Times New Roman" w:eastAsia="Times New Roman" w:hAnsi="Times New Roman" w:cs="Times New Roman"/>
          <w:color w:val="000000" w:themeColor="text1"/>
          <w:spacing w:val="6"/>
          <w:sz w:val="28"/>
          <w:szCs w:val="28"/>
          <w:bdr w:val="single" w:sz="2" w:space="0" w:color="E5E7EB" w:frame="1"/>
        </w:rPr>
        <w:lastRenderedPageBreak/>
        <w:t>Lợi ích khi được niêm yết trên sàn chứng khoán</w:t>
      </w:r>
    </w:p>
    <w:p w14:paraId="08301CB4" w14:textId="77777777" w:rsidR="00EB4559" w:rsidRPr="00EE68EF" w:rsidRDefault="00EB4559" w:rsidP="00DC695D">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Với tổ chức phát hành, cổ phiếu được niêm yết trên sàn chứng khoán có một số lợi ích như:</w:t>
      </w:r>
    </w:p>
    <w:p w14:paraId="38C9E4B5" w14:textId="77777777" w:rsidR="00EB4559" w:rsidRPr="00EE68EF" w:rsidRDefault="00EB4559" w:rsidP="00DC695D">
      <w:pPr>
        <w:numPr>
          <w:ilvl w:val="0"/>
          <w:numId w:val="35"/>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Cơ hội huy động vốn nhanh và dài hạn</w:t>
      </w:r>
      <w:r w:rsidRPr="00EE68EF">
        <w:rPr>
          <w:rFonts w:ascii="Times New Roman" w:eastAsia="Times New Roman" w:hAnsi="Times New Roman" w:cs="Times New Roman"/>
          <w:color w:val="000000" w:themeColor="text1"/>
          <w:sz w:val="28"/>
          <w:szCs w:val="28"/>
        </w:rPr>
        <w:t>: Sau khi được niêm yết cổ phiếu trên sàn chứng khoán, công ty sẽ gia tăng không ít lượng tiền mặt, tiền vốn dựa trên cơ sở tính thanh khoản cao của công ty đã xác thực trên thị trường.</w:t>
      </w:r>
    </w:p>
    <w:p w14:paraId="3457B9E3" w14:textId="77777777" w:rsidR="00EB4559" w:rsidRPr="00EE68EF" w:rsidRDefault="00EB4559" w:rsidP="00DC695D">
      <w:pPr>
        <w:numPr>
          <w:ilvl w:val="0"/>
          <w:numId w:val="35"/>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Cơ hội quảng bá sự uy tín</w:t>
      </w:r>
      <w:r w:rsidRPr="00EE68EF">
        <w:rPr>
          <w:rFonts w:ascii="Times New Roman" w:eastAsia="Times New Roman" w:hAnsi="Times New Roman" w:cs="Times New Roman"/>
          <w:color w:val="000000" w:themeColor="text1"/>
          <w:sz w:val="28"/>
          <w:szCs w:val="28"/>
        </w:rPr>
        <w:t>: Để được lên sàn chứng khoán, các công ty đều phải đáp ứng được những yêu cầu khắt khe do sàn chứng khoán và sở giao dịch chứng khoán quy định. Đây như một lời khẳng định về mức độ uy tín của công ty trên thị trường. Qua đó, mang tới cho doanh nghiệp cơ hội hợp tác, phát triển.</w:t>
      </w:r>
    </w:p>
    <w:p w14:paraId="248313E8" w14:textId="77777777" w:rsidR="00EB4559" w:rsidRPr="00EE68EF" w:rsidRDefault="00EB4559" w:rsidP="00DC695D">
      <w:pPr>
        <w:numPr>
          <w:ilvl w:val="0"/>
          <w:numId w:val="35"/>
        </w:numPr>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bdr w:val="single" w:sz="2" w:space="0" w:color="E5E7EB" w:frame="1"/>
        </w:rPr>
        <w:t>Tạo tính thanh khoản cho cổ phiếu</w:t>
      </w:r>
      <w:r w:rsidRPr="00EE68EF">
        <w:rPr>
          <w:rFonts w:ascii="Times New Roman" w:eastAsia="Times New Roman" w:hAnsi="Times New Roman" w:cs="Times New Roman"/>
          <w:color w:val="000000" w:themeColor="text1"/>
          <w:sz w:val="28"/>
          <w:szCs w:val="28"/>
        </w:rPr>
        <w:t>: Sở giao dịch chứng khoán là nơi chứng khoán được giao dịch nhanh chóng, thuận lợi và an toàn nhất. Điều này tạo cho chứng khoán được niêm yết khả năng chuyển nhượng dễ dàng, thuận lợi hơn. </w:t>
      </w:r>
    </w:p>
    <w:p w14:paraId="5406B8C0" w14:textId="4207B5BE" w:rsidR="005D573D" w:rsidRPr="00F060EB" w:rsidRDefault="00F060EB" w:rsidP="00DC695D">
      <w:pPr>
        <w:spacing w:after="0" w:line="288" w:lineRule="auto"/>
        <w:ind w:firstLine="720"/>
        <w:jc w:val="both"/>
        <w:textAlignment w:val="baseline"/>
        <w:rPr>
          <w:rFonts w:ascii="Times New Roman" w:eastAsia="Times New Roman" w:hAnsi="Times New Roman" w:cs="Times New Roman"/>
          <w:b/>
          <w:color w:val="000000" w:themeColor="text1"/>
          <w:sz w:val="28"/>
          <w:szCs w:val="28"/>
        </w:rPr>
      </w:pPr>
      <w:r w:rsidRPr="00F060EB">
        <w:rPr>
          <w:rFonts w:ascii="Times New Roman" w:eastAsia="Times New Roman" w:hAnsi="Times New Roman" w:cs="Times New Roman"/>
          <w:b/>
          <w:color w:val="000000" w:themeColor="text1"/>
          <w:sz w:val="28"/>
          <w:szCs w:val="28"/>
        </w:rPr>
        <w:t xml:space="preserve">III. </w:t>
      </w:r>
      <w:r w:rsidR="00686D42">
        <w:rPr>
          <w:rFonts w:ascii="Times New Roman" w:eastAsia="Times New Roman" w:hAnsi="Times New Roman" w:cs="Times New Roman"/>
          <w:b/>
          <w:color w:val="000000" w:themeColor="text1"/>
          <w:sz w:val="28"/>
          <w:szCs w:val="28"/>
        </w:rPr>
        <w:t>Thực trạng và g</w:t>
      </w:r>
      <w:r w:rsidRPr="00F060EB">
        <w:rPr>
          <w:rFonts w:ascii="Times New Roman" w:eastAsia="Times New Roman" w:hAnsi="Times New Roman" w:cs="Times New Roman"/>
          <w:b/>
          <w:color w:val="000000" w:themeColor="text1"/>
          <w:sz w:val="28"/>
          <w:szCs w:val="28"/>
        </w:rPr>
        <w:t>iải pháp</w:t>
      </w:r>
    </w:p>
    <w:p w14:paraId="4D2E8AD1" w14:textId="2D25A1EA" w:rsidR="00D2286E" w:rsidRPr="00F060EB" w:rsidRDefault="00D2286E" w:rsidP="00DC695D">
      <w:pPr>
        <w:shd w:val="clear" w:color="auto" w:fill="FFFFFF"/>
        <w:spacing w:after="0" w:line="288" w:lineRule="auto"/>
        <w:ind w:firstLine="720"/>
        <w:jc w:val="both"/>
        <w:outlineLvl w:val="3"/>
        <w:rPr>
          <w:rFonts w:ascii="Times New Roman" w:eastAsia="Times New Roman" w:hAnsi="Times New Roman" w:cs="Times New Roman"/>
          <w:bCs/>
          <w:color w:val="000000" w:themeColor="text1"/>
          <w:sz w:val="28"/>
          <w:szCs w:val="28"/>
        </w:rPr>
      </w:pPr>
      <w:r w:rsidRPr="00F060EB">
        <w:rPr>
          <w:rFonts w:ascii="Times New Roman" w:eastAsia="Times New Roman" w:hAnsi="Times New Roman" w:cs="Times New Roman"/>
          <w:bCs/>
          <w:color w:val="000000" w:themeColor="text1"/>
          <w:sz w:val="28"/>
          <w:szCs w:val="28"/>
        </w:rPr>
        <w:t>Thị trường chứng khoán được đánh giá là giải pháp huy động vốn mang lại hiệu quả to lớn cho doanh nghiệp, đặc biệt là trong bối cảnh hiện nay.</w:t>
      </w:r>
    </w:p>
    <w:p w14:paraId="0D904407" w14:textId="77777777" w:rsidR="00D2286E" w:rsidRPr="00EE68EF" w:rsidRDefault="00D2286E" w:rsidP="00DC695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Trong bối cảnh mới, dưới tác động mạnh mẽ của cuộc cách mạng công nghiệp lần thứ tư và ảnh hưởng tiêu cực từ đại dịch Covid-19 trên toàn cầu, việc huy động vốn cho sản xuất kinh doanh là một trong những vấn đề quan trọng có tính chất sống còn đối với doanh nghiệp hiện nay.</w:t>
      </w:r>
    </w:p>
    <w:p w14:paraId="728E7AAF" w14:textId="77777777"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Khảo sát của VCCI cho thấy, bên cạnh việc thiếu hụt thị trường và nguồn nguyên liệu do đại dịch Covid-19 thì gần 50% doanh nghiệp thiếu hụt nguốn vốn và dòng tiền kinh doanh. Việc doanh nghiệp dựa quá nhiều vào vốn vay, trong đó chủ yếu vay qua các tổ chức tín dụng thay vì vốn chủ sở hữu cũng khiến các doanh nghiệp dễ dàng gặp rủi ro hơn liên quan đến nguồn vốn, dòng tiền kinh doanh.</w:t>
      </w:r>
    </w:p>
    <w:p w14:paraId="728B2624" w14:textId="17C16B99"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Dưới tác động của cuộc cách mạng công nghiệp lần thứ tư và đại dịch Covid-19, việc huy động vốn cho sản xuất kinh doanh là vấn đề quan trọng mang tính chất sống còn đối với doanh nghiệp hiện nay. </w:t>
      </w:r>
    </w:p>
    <w:p w14:paraId="5F43299D" w14:textId="77777777"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Cấu trúc thị trường vốn của Việt Nam đã được định hình rõ rệt với hai cấu phần chính là thị trường chứng khoán và thị trường tín dụng trung – dài hạn nhằm tạo kênh dẫn vốn hữu hiệu cho chính phủ, các doanh nghiệp và cả nền kinh tế. Trong bối cảnh đại dịch Covid-19, thị trường vốn đang đối mặt với nhiều thách thức, nguồn </w:t>
      </w:r>
      <w:r w:rsidRPr="00EE68EF">
        <w:rPr>
          <w:rFonts w:ascii="Times New Roman" w:eastAsia="Times New Roman" w:hAnsi="Times New Roman" w:cs="Times New Roman"/>
          <w:color w:val="000000" w:themeColor="text1"/>
          <w:sz w:val="28"/>
          <w:szCs w:val="28"/>
        </w:rPr>
        <w:lastRenderedPageBreak/>
        <w:t>vốn của doanh nghiệp cần được xem xét lại ở cả góc độ cơ cấu, mục tiêu và cách thức huy động vốn.</w:t>
      </w:r>
    </w:p>
    <w:p w14:paraId="2EA053AA" w14:textId="77777777"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Hiện nay, điểm yếu của doanh nghiệp Việt Nam là phụ thuộc quá nhiều vào nguồn vốn vay ngân hàng. Trong khi đó thị trường tín dụng đang bị quá tải do vừa phải lo cung ứng nguồn vốn ngắn hạn, vừa phải lo cung ứng nguồn vốn trung và dài hạn cho nền kinh tế và doanh nghiệp. Do tiềm lực của các ngân hàng Việt Nam còn hạn chế, để bảo đảm có nguồn vốn trung và dài hạn, các ngân hàng buộc phải đi vay nguồn vốn ngắn hạn (chủ yếu vay tiền trong dân), lấy nguồn huy động ngắn hạn để cho vay trung và dài hạn. Điều này chứa đựng nguy cơ rất lớn cho cả ngân hàng, doanh nghiệp và nền kinh tế. Nguy cơ ở phía doanh nghiệp là ở khía cạnh phải vay lãi suất cao, chi phí vốn cao dẫn đến hiệu quả sinh lời thấp; mặt khác việc phụ thuộc quá lớn vào nguồn vốn vay ngân hàng sẽ ảnh hưởng nghiêm trọng tới hoạt động của doanh nghiệp trong trường hợp nguồn vay bị hạn chế hoặc gián đoạn.</w:t>
      </w:r>
    </w:p>
    <w:p w14:paraId="57B65C40" w14:textId="183034A2"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đánh giá của chuyên gia kinh tế , quy mô thị trường vốn trong nước vẫn thiếu tính ổn định; các sản phẩm chưa đa dạng, chế tài chưa đủ sức răn đe; nền tảng nhà đầu tư chưa bền vững… Do đó, để giải quyết tình trạng này, các doanh nghiệp cần minh bạch về hoạt động và báo cáo tài chính; chủ động tìm hiểu về các chính sách hỗ trợ tài chính, bảo lãnh tín dụng… các cơ quan quản lý cần mạnh mẽ và xây dựng các giải pháp hiệu quả, thiết thực hơn để các chính sách hỗ trợ tài chính dễ dàng được tiếp cận với các doanh nghiệp.</w:t>
      </w:r>
    </w:p>
    <w:p w14:paraId="6C5F3E48" w14:textId="15D757D4"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 Đối với các nước phát triển, để huy động nguồn vốn trung và dài hạn, các doanh nghiệp sẽ thực hiện niêm yết cổ phiếu trên thị trường chứng khoán (TTCK) để có thể huy động vốn một cách nhanh chóng, thuận tiện, dễ dàng từ việc phát hành cổ phiếu dựa trên tính thanh khoản cao và uy tín của doanh nghiệp được niêm yết trên thị trường. Huy động theo cách thức này, doanh nghiệp không phải thanh toán lãi vay cũng như phải trả vốn gốc giống như việc vay nợ, từ đó sẽ rất chủ động trong việc sử dụng nguồn vốn huy động được cho mục tiêu và chiến lược dài hạn của mình.</w:t>
      </w:r>
    </w:p>
    <w:p w14:paraId="1CE54678" w14:textId="77777777"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Tuy nhiên ở Việt Nam, do nhiều lý do khác nhau các doanh nghiệp lại chủ yếu vay vốn từ các ngân hàng thương mại. Điều này dẫn tới hệ quả là chi phí vốn vay cao, áp lực trả nợ lớn, tác động tiêu cực đến hiệu quả sản xuất – kinh doanh của doanh nghiệp. Huy động vốn của doanh nghiệp thông qua thị trường chứng khoán hiện nay còn nhiều hạn chế.</w:t>
      </w:r>
    </w:p>
    <w:p w14:paraId="368CD76A" w14:textId="2469F01D"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Tỷ lệ huy động vốn qua thị trường chứng khoán tại Việt Nam còn ở mức thấp. </w:t>
      </w:r>
    </w:p>
    <w:p w14:paraId="5430BC86" w14:textId="23655294"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Nhu cầu vốn trung và dài hạn của doanh nghiệp hiện nay đang rất lớn.</w:t>
      </w:r>
    </w:p>
    <w:p w14:paraId="6CBD314D" w14:textId="3C767B92"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Tuy nhiên,</w:t>
      </w:r>
      <w:r w:rsidR="00DC695D">
        <w:rPr>
          <w:rFonts w:ascii="Times New Roman" w:eastAsia="Times New Roman" w:hAnsi="Times New Roman" w:cs="Times New Roman"/>
          <w:color w:val="000000" w:themeColor="text1"/>
          <w:sz w:val="28"/>
          <w:szCs w:val="28"/>
        </w:rPr>
        <w:t xml:space="preserve"> </w:t>
      </w:r>
      <w:r w:rsidRPr="00EE68EF">
        <w:rPr>
          <w:rFonts w:ascii="Times New Roman" w:eastAsia="Times New Roman" w:hAnsi="Times New Roman" w:cs="Times New Roman"/>
          <w:color w:val="000000" w:themeColor="text1"/>
          <w:sz w:val="28"/>
          <w:szCs w:val="28"/>
        </w:rPr>
        <w:t>do cơ cấu vốn của doanh nghiệp còn bất hợp lý, nguồn vốn chủ sở hữu chỉ chiếm khoảng 20-30% còn lại là vay tín dụng từ các ngân hàng thương mại, trong khi khu vực này lại thường không thể đáp ứng được nhu cầu vốn vay trung và dài hạn của doanh nghiệp.</w:t>
      </w:r>
    </w:p>
    <w:p w14:paraId="311941E6" w14:textId="6C67225D"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Muốn huy động nguồn vốn có hiệu quả, phải tập trung vào 4 giải pháp cụ thể: Xác định cơ cấu vốn tối ưu; đa dạng hóa các hình thức huy động vốn; huy động vốn qua thị trường chứng khoán là giải pháp tối ưu mang lại hiệu quả to lớn cho doanh nghiệp; nâng cao chất lượng quản trị doanh nghiệp.</w:t>
      </w:r>
    </w:p>
    <w:p w14:paraId="2D8E9F21" w14:textId="5054A219" w:rsidR="00D2286E" w:rsidRPr="00EE68EF" w:rsidRDefault="00CC4671"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w:t>
      </w:r>
      <w:r w:rsidR="00D2286E" w:rsidRPr="00EE68EF">
        <w:rPr>
          <w:rFonts w:ascii="Times New Roman" w:eastAsia="Times New Roman" w:hAnsi="Times New Roman" w:cs="Times New Roman"/>
          <w:color w:val="000000" w:themeColor="text1"/>
          <w:sz w:val="28"/>
          <w:szCs w:val="28"/>
        </w:rPr>
        <w:t>au đại dịch, sự suy giảm giá trị tài sản tiếp tục làm giảm khả năng cho vay của các ngân hàng đối với các doanh nghiệp nói chung và doanh nghiệp vừa và nhỏ nói riêng. Bởi vậy nên khu vực kinh tế này đang và sẽ gặp nhiều khó khăn khi tiếp cận các nguồn vốn truyền thông theo kênh ngân hàng.</w:t>
      </w:r>
    </w:p>
    <w:p w14:paraId="537B87C8" w14:textId="3B4CE0B3" w:rsidR="00D2286E" w:rsidRPr="00EE68EF" w:rsidRDefault="00D2286E" w:rsidP="004A34DD">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Để đáp ứng nhu cầu của thế giới trong bối cảnh hậu dịch Covid-19, ngành dịch vụ tài chính đã có sự thay đổi nhanh chóng và chuyển dịch từ tương tác trực tiếp với khách hàng sang hoạt động dựa trên nền tảng và hệ sinh thái, với quan điểm tập trung phát triển nền kinh tế không dùng tiền mặt; lấy khách hàng làm trung tâm và sản phẩm có tính cá nhân hóa cao; đơn giản hóa mọi quy trình thông qua tiền tệ số hóa</w:t>
      </w:r>
      <w:r w:rsidR="00CC4671">
        <w:rPr>
          <w:rFonts w:ascii="Times New Roman" w:eastAsia="Times New Roman" w:hAnsi="Times New Roman" w:cs="Times New Roman"/>
          <w:color w:val="000000" w:themeColor="text1"/>
          <w:sz w:val="28"/>
          <w:szCs w:val="28"/>
        </w:rPr>
        <w:t>.</w:t>
      </w:r>
    </w:p>
    <w:p w14:paraId="3DA32A43"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Hiện nay, Bộ Tài chính đã và đang chỉ đạo Ủy ban chứng khoán Nhà nước xây dựng đề án chiến lược phát triển thị trường chứng khoán Việt Nam giai đoạn 2021-2030. Quan điểm chung về việc phát triển thị trường chứng khoán Việt Nam trong 10 năm tới là phát triển thị trường chứng khoán Việt Nam phải đồng bộ và thống nhất trong tổng thể thị trường tài chính của đất nước, gắn liền với đổi mới mô hình tăng trưởng và cơ cấu lại nền kinh tế thị trường định hướng Xã hội Chủ nghĩa. Thứ hai là tiếp tục phát triển TTCK về quy mô đồng thời tập trung nâng cao chất lượng thị trường. Thứ ba là quản lý, giám sát thị trường dựa trên rủi ro, đảm bảo thị trường vận hành an toàn, bảo vệ quyền và lợi ích hợp pháp của nhà đầu tư, tiết giảm chi phí xã hội, đảm bảo thị trường hoạt động minh bạch, an toàn, lành mạnh, bền vững. Thứ tư là Nhà nước thực hiện quản lý thị trường bằng công cụ pháp luật, đảm bảo TTCK phát triển ổn định....</w:t>
      </w:r>
    </w:p>
    <w:p w14:paraId="37992E1F"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lastRenderedPageBreak/>
        <w:t>Để đạt được mục tiêu trên, các giải pháp trung và dài hạn giúp TTCK phát triển cân bằng, minh bạch và ổn định sẽ tiếp tục được Ủy ban Chứng khoán Nhà nước thực hiện, trọng tâm là:</w:t>
      </w:r>
    </w:p>
    <w:p w14:paraId="0A8B36AE"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nhất, tập trung nỗ lực đưa các quy định, chính sách mới của Luật Chứng khoán và các văn bản hướng dẫn vào thực tiễn nhằm hỗ trợ cho doanh nghiệp, bảo vệ quyền và lợi ích hợp pháp của nhà đầu tư, tạo động lực thúc đẩy TTCK Việt Nam phát triển bền vững. Hoàn thành xây dựng, trình Bộ Tài chính trình Thủ tướng Chính phủ ban hành Chiến lược phát triển Thị trường chứng khoán Việt Nam giai đoạn 2021 – 2030 để định hình mục tiêu, giải pháp về lộ trình phát triển TTCK nhằm huy động vốn trung và dài hạn cho nền kinh tế. Nghiên cứu khuôn khổ pháp lý cho phát triển các sản phẩm chứng khoán dịch vụ mới trên TTCK Việt Nam.</w:t>
      </w:r>
    </w:p>
    <w:p w14:paraId="19BD5567"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hai, tiếp tục đẩy mạnh và thực hiện có hiệu quả công tác tái cấu trúc TTCK theo 4 trụ cột lớn bao gồm: cơ cấu lại tổ chức thị trường; cơ sở hàng hóa; cơ sở nhà đầu tư và tổ chức kinh doanh chứng khoán.</w:t>
      </w:r>
    </w:p>
    <w:p w14:paraId="0F821FFF"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Theo đó, sẽ tập trung hoàn thiện bộ máy tổ chức của Sở giao dịch chứng khoán Việt Nam theo mô hình công ty mẹ-con, sớm thực hiện phân định các thị trường giao dịch chứng khoán theo lộ trình sắp xếp lại lại các thị trường giao dịch. Cùng với đó, tiếp tục đẩy mạnh và hoàn thiện quá trình tái cấu trúc các công ty chứng khoán, công ty quản lý quỹ nhằm nâng cao năng lực và an toàn tài chính, cải thiện chất lượng hoạt động thông qua tăng cường năng lực cạnh tranh, cung cấp dịch vụ, áp dụng quản trị công ty và đạo đức nghề nghiệp theo thông lệ quốc tế.</w:t>
      </w:r>
    </w:p>
    <w:p w14:paraId="0E12295F"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ba, tiếp tục chính sách khuyến khích các loại hình doanh nghiệp thực hiện phát hành cổ phần lần đầu ra công chúng (IPO) gắn với niêm yết, đăng ký giao dịch trên TTCK, tạo nguồn cung cổ phiếu chất lượng thông qua việc xét duyệt các điều kiện về IPO gắn với lên sàn chứng khoán. Phối hợp với các cơ quan, đơn vị chức năng liên quan hoàn thành kế hoạch cổ phần hóa và thoái vốn nhà nước từng giai đoạn theo danh mục đã được Thủ tướng Chính phủ phê duyệt. Đa dạng hóa các sản phẩm đảm bảo phù hợp với điều kiện phát triển của thị trường, hướng đến triển khai các loại hình sản phẩm cấu trúc phức hợp, các loại chứng chỉ lưu ký, phát triển đa dạng các sản phẩm chứng khoán phái sinh.</w:t>
      </w:r>
    </w:p>
    <w:p w14:paraId="69C9C9AC"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 xml:space="preserve">Đặc biệt, mục tiêu trọng điểm thời gian tới là thiết lập được thị trường giao dịch tập trung cho các Trái phiếu doanh nghiệp và thị trường dành cho các doanh nghiệp có tiềm năng tăng trưởng cao, doanh nghiệp khởi nghiệp sáng tạo (starup), </w:t>
      </w:r>
      <w:r w:rsidRPr="00EE68EF">
        <w:rPr>
          <w:color w:val="000000" w:themeColor="text1"/>
          <w:sz w:val="28"/>
          <w:szCs w:val="28"/>
        </w:rPr>
        <w:lastRenderedPageBreak/>
        <w:t>vừa góp phần phát triển cân đối các cấu phần thị trường trên TTCK vừa tạo thêm nguồn cung hàng hóa cho thị trường. Tiếp tục nâng cao chất lượng quản trị doanh nghiệp, quản trị rủi ro của các công ty niêm yết, công ty đại chúng theo thông lệ quốc tế.</w:t>
      </w:r>
    </w:p>
    <w:p w14:paraId="7D4AB31B"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tư, bên cạnh các giải pháp thu hút sự tham gia mạnh mẽ, có hiệu quả của các nhà đầu tư vào TTCK, Ủy ban Chứng khoán Nhà nước sẽ tập trung chiến lược cho phát triển các nhà đầu tư có tổ chức thông qua việc mở rộng quy mô và phát triển đa dạng các loại hình quỹ đầu tư để tăng cường cơ sở nhà đầu tư có tổ chức trên TTCK. Ngoài ra, tiếp tục đồng bộ các giải pháp, phấn đấu sớm được nâng hạng TTCK từ cận biên lên mới nổi để thu hút tốt hơn sự quan tâm, tham gia đầu tư của các tổ chức nước ngoài.</w:t>
      </w:r>
    </w:p>
    <w:p w14:paraId="35C61B07"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năm, tăng cường năng lực giám sát, quản lý và cưỡng chế thực thi của cơ quan quản lý nhà nước đối với TTCK theo thông lệ và chuẩn mực quốc tế. Siết chặt kỷ cương kỷ luật của thị trường, xử lý nghiêm các hành vi vi phạm để TTCK phát triển một cách minh bạch và bền vững.</w:t>
      </w:r>
    </w:p>
    <w:p w14:paraId="0C07BE14" w14:textId="77777777" w:rsidR="00BE3469" w:rsidRPr="00EE68EF" w:rsidRDefault="00BE3469" w:rsidP="004A34DD">
      <w:pPr>
        <w:pStyle w:val="NormalWeb"/>
        <w:shd w:val="clear" w:color="auto" w:fill="FFFFFF"/>
        <w:spacing w:before="0" w:beforeAutospacing="0" w:after="0" w:afterAutospacing="0" w:line="288" w:lineRule="auto"/>
        <w:ind w:firstLine="720"/>
        <w:jc w:val="both"/>
        <w:rPr>
          <w:color w:val="000000" w:themeColor="text1"/>
          <w:sz w:val="28"/>
          <w:szCs w:val="28"/>
        </w:rPr>
      </w:pPr>
      <w:r w:rsidRPr="00EE68EF">
        <w:rPr>
          <w:color w:val="000000" w:themeColor="text1"/>
          <w:sz w:val="28"/>
          <w:szCs w:val="28"/>
        </w:rPr>
        <w:t>Thứ sáu, hoàn thành và đưa hệ thống công nghệ thông tin mới và hoạt động đồng bộ tại các Sở giao dịch chứng khoán và Trung tâm Lưu ký chứng khoán Việt Nam nhằm hiện đại hóa hạ tầng công nghệ phục vụ quản lý, giám sát giao dịch, thanh toán bù trừ cho toàn thị trường.</w:t>
      </w:r>
    </w:p>
    <w:p w14:paraId="590A46BB" w14:textId="2C58DBA0" w:rsidR="005D573D" w:rsidRPr="00EE68EF" w:rsidRDefault="00686D42" w:rsidP="00E2562E">
      <w:pPr>
        <w:pStyle w:val="NormalWeb"/>
        <w:shd w:val="clear" w:color="auto" w:fill="FFFFFF"/>
        <w:spacing w:before="0" w:beforeAutospacing="0" w:after="0" w:afterAutospacing="0" w:line="288" w:lineRule="auto"/>
        <w:ind w:firstLine="720"/>
        <w:jc w:val="both"/>
        <w:rPr>
          <w:color w:val="000000" w:themeColor="text1"/>
          <w:sz w:val="28"/>
          <w:szCs w:val="28"/>
        </w:rPr>
      </w:pPr>
      <w:r w:rsidRPr="00686D42">
        <w:rPr>
          <w:b/>
          <w:color w:val="000000" w:themeColor="text1"/>
          <w:sz w:val="28"/>
          <w:szCs w:val="28"/>
        </w:rPr>
        <w:t>IV.</w:t>
      </w:r>
      <w:r w:rsidR="00E2562E" w:rsidRPr="00686D42">
        <w:rPr>
          <w:b/>
          <w:color w:val="000000" w:themeColor="text1"/>
          <w:sz w:val="28"/>
          <w:szCs w:val="28"/>
        </w:rPr>
        <w:t xml:space="preserve"> </w:t>
      </w:r>
      <w:r w:rsidR="00E2562E" w:rsidRPr="00E2562E">
        <w:rPr>
          <w:b/>
          <w:color w:val="000000" w:themeColor="text1"/>
          <w:sz w:val="28"/>
          <w:szCs w:val="28"/>
        </w:rPr>
        <w:t>Vướng mắc thường gặp</w:t>
      </w:r>
    </w:p>
    <w:p w14:paraId="20394399" w14:textId="00E774FB" w:rsidR="00E2562E" w:rsidRPr="00E2562E" w:rsidRDefault="00E2562E" w:rsidP="00E2562E">
      <w:pPr>
        <w:shd w:val="clear" w:color="auto" w:fill="FFFFFF"/>
        <w:spacing w:after="0" w:line="288" w:lineRule="auto"/>
        <w:ind w:firstLine="720"/>
        <w:jc w:val="both"/>
        <w:outlineLvl w:val="1"/>
        <w:rPr>
          <w:rFonts w:ascii="Times New Roman" w:eastAsia="Times New Roman" w:hAnsi="Times New Roman" w:cs="Times New Roman"/>
          <w:i/>
          <w:color w:val="000000" w:themeColor="text1"/>
          <w:sz w:val="28"/>
          <w:szCs w:val="28"/>
        </w:rPr>
      </w:pPr>
      <w:r w:rsidRPr="00E2562E">
        <w:rPr>
          <w:rFonts w:ascii="Times New Roman" w:hAnsi="Times New Roman" w:cs="Times New Roman"/>
          <w:i/>
          <w:color w:val="000000" w:themeColor="text1"/>
          <w:sz w:val="28"/>
          <w:szCs w:val="28"/>
        </w:rPr>
        <w:t xml:space="preserve">Vướng mắc 1: </w:t>
      </w:r>
      <w:r w:rsidRPr="00E2562E">
        <w:rPr>
          <w:rFonts w:ascii="Times New Roman" w:eastAsia="Times New Roman" w:hAnsi="Times New Roman" w:cs="Times New Roman"/>
          <w:bCs/>
          <w:i/>
          <w:color w:val="000000" w:themeColor="text1"/>
          <w:sz w:val="28"/>
          <w:szCs w:val="28"/>
        </w:rPr>
        <w:t>Công ty cổ phần được phép phát hành cổ phiếu khi nào?</w:t>
      </w:r>
    </w:p>
    <w:p w14:paraId="4FE30E63" w14:textId="77777777" w:rsidR="00E2562E" w:rsidRPr="00E2562E"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2562E">
        <w:rPr>
          <w:rFonts w:ascii="Times New Roman" w:eastAsia="Times New Roman" w:hAnsi="Times New Roman" w:cs="Times New Roman"/>
          <w:color w:val="000000" w:themeColor="text1"/>
          <w:sz w:val="28"/>
          <w:szCs w:val="28"/>
        </w:rPr>
        <w:t>Để phát hành được cổ phiếu thì các công ty cổ phần cần phải đáp ứng được những điều kiện, yêu cầu sau đây:</w:t>
      </w:r>
    </w:p>
    <w:p w14:paraId="54ABC295"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2562E">
        <w:rPr>
          <w:rFonts w:ascii="Times New Roman" w:eastAsia="Times New Roman" w:hAnsi="Times New Roman" w:cs="Times New Roman"/>
          <w:color w:val="000000" w:themeColor="text1"/>
          <w:sz w:val="28"/>
          <w:szCs w:val="28"/>
        </w:rPr>
        <w:t>– Về vốn điều lệ: Trong thời điểm đăng</w:t>
      </w:r>
      <w:r w:rsidRPr="00EE68EF">
        <w:rPr>
          <w:rFonts w:ascii="Times New Roman" w:eastAsia="Times New Roman" w:hAnsi="Times New Roman" w:cs="Times New Roman"/>
          <w:color w:val="000000" w:themeColor="text1"/>
          <w:sz w:val="28"/>
          <w:szCs w:val="28"/>
        </w:rPr>
        <w:t xml:space="preserve"> ký chào bán, mức vốn điều lệ đã góp của công ty phải đạt từ 10 tỷ đồng trở lên (theo như giá trị trên sổ kế toán ghi nhận)</w:t>
      </w:r>
    </w:p>
    <w:p w14:paraId="5C54A711"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Về tình hình hoạt động kinh doanh của công ty: phải có lãi trong năm liền trước của năm đăng ký chào bán; bên cạnh đó tính đến thời điểm năm đăng ký để chào bán thì công ty cũng không được có lỗ lũy kế.</w:t>
      </w:r>
    </w:p>
    <w:p w14:paraId="369A2852"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Về cách thức phát hành và kế hoạch sử dụng vốn sau khi thu được từ việc chào bán thì phải được Đại hội đồng thông qua trước đó.</w:t>
      </w:r>
    </w:p>
    <w:p w14:paraId="53098FE7"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Một số điều kiện nhất định khác phù hợp với lĩnh vực, bản chất, ngành nghề kinh doanh của doanh nghiệp.</w:t>
      </w:r>
    </w:p>
    <w:p w14:paraId="30E28103"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Cũng theo quy định của pháp luật hiện hành về doanh nghiệp cũng như những quy định khác của các văn bản có liên quan thì:</w:t>
      </w:r>
    </w:p>
    <w:p w14:paraId="7C7C1FBC"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Khi phát hành cổ phiếu, trên cổ phiếu cần có những nội dung cơ bản sau đây:</w:t>
      </w:r>
    </w:p>
    <w:p w14:paraId="40DA72B9"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Tên công ty, mã số doanh nghiệp, địa điểm nơi đặt trụ sở chính</w:t>
      </w:r>
    </w:p>
    <w:p w14:paraId="176FEDC3"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Loại cổ phần kèm theo số lượng cổ phần</w:t>
      </w:r>
    </w:p>
    <w:p w14:paraId="3C01216A"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Tổng mệnh giá số cổ phần và mệnh giá mỗi cổ phần ghi trên cổ phiếu</w:t>
      </w:r>
    </w:p>
    <w:p w14:paraId="126BB59B"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Họ và tên, quốc tịch, nơi đăng ký thường trú, số chứng minh nhân dân, số thẻ căn cước công dân, số hộ chiếu hoặc các giấy tờ hợp pháp khác để chứng thực các thông tin của cổ đông nếu là cá nhân.</w:t>
      </w:r>
    </w:p>
    <w:p w14:paraId="4922A378"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trường hợp cổ đông là một tổ chức thì trên cổ phiếu cần ghi nhận các thông tin về tên của tổ chức, mã số doanh nghiệp, địa chỉ đặt trụ sở chính hay số quyết định thành lập công ty.</w:t>
      </w:r>
    </w:p>
    <w:p w14:paraId="50E61A38"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Tóm tắt sơ lược về quy trình chuyển nhượng cổ phần</w:t>
      </w:r>
    </w:p>
    <w:p w14:paraId="2688B834"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Chữ ký (có ghi rõ họ và tên) của người đại diện theo pháp luật kèm theo dấu của công ty (nếu có)</w:t>
      </w:r>
    </w:p>
    <w:p w14:paraId="660F5EE8"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Thời gian phát hành cổ phiếu và số đăng ký có ghi tại sổ đăng ký cổ đông</w:t>
      </w:r>
    </w:p>
    <w:p w14:paraId="76B8D713" w14:textId="77777777"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Một số nội dung thông tin khác theo quy định của pháp luật doanh nghiệp đối với riêng trường hợp cổ phiếu thuộc cổ phần ưu đãi.</w:t>
      </w:r>
    </w:p>
    <w:p w14:paraId="2C1FEA37" w14:textId="4B418D31" w:rsidR="00E2562E" w:rsidRPr="00E2562E" w:rsidRDefault="00E2562E" w:rsidP="00E2562E">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2562E">
        <w:rPr>
          <w:rFonts w:ascii="Times New Roman" w:hAnsi="Times New Roman" w:cs="Times New Roman"/>
          <w:i/>
          <w:color w:val="000000" w:themeColor="text1"/>
          <w:sz w:val="28"/>
          <w:szCs w:val="28"/>
        </w:rPr>
        <w:t xml:space="preserve">Vướng mắc 2: </w:t>
      </w:r>
      <w:r w:rsidRPr="00E2562E">
        <w:rPr>
          <w:rFonts w:ascii="Times New Roman" w:eastAsia="Times New Roman" w:hAnsi="Times New Roman" w:cs="Times New Roman"/>
          <w:bCs/>
          <w:i/>
          <w:color w:val="000000" w:themeColor="text1"/>
          <w:sz w:val="28"/>
          <w:szCs w:val="28"/>
        </w:rPr>
        <w:t>Có những dạng cổ phiếu nào?</w:t>
      </w:r>
    </w:p>
    <w:p w14:paraId="5F6912A0" w14:textId="77777777" w:rsidR="00E2562E" w:rsidRPr="00EE68EF" w:rsidRDefault="00E2562E" w:rsidP="00E2562E">
      <w:pPr>
        <w:numPr>
          <w:ilvl w:val="0"/>
          <w:numId w:val="24"/>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được phép phát hành: Khi thành lập công ty cổ phần khi đó công ty bạn được phép phát hành cổ phiếu để huy động vốn trong quá trình công ty phát hành cổ phiếu.</w:t>
      </w:r>
    </w:p>
    <w:p w14:paraId="5CFC6B60" w14:textId="77777777" w:rsidR="00E2562E" w:rsidRPr="00EE68EF" w:rsidRDefault="00E2562E" w:rsidP="00E2562E">
      <w:pPr>
        <w:numPr>
          <w:ilvl w:val="0"/>
          <w:numId w:val="24"/>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đã phát hành: là cổ phiếu mà công ty được bán ra cho các nhà đầu tư là các tổ chức, cá nhân trên thị trường và công ty đã thu về được toàn bộ tiền bán số cổ phiếu đó, nó nhỏ hơn hoặc tối đa là bằng với số cổ phiếu được phép phát hành.</w:t>
      </w:r>
    </w:p>
    <w:p w14:paraId="5AB02740" w14:textId="77777777" w:rsidR="00E2562E" w:rsidRPr="00EE68EF" w:rsidRDefault="00E2562E" w:rsidP="00E2562E">
      <w:pPr>
        <w:numPr>
          <w:ilvl w:val="0"/>
          <w:numId w:val="24"/>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quỹ: là những cổ phiếu đã được giao dịch trên thị trường và được chính tổ chức, công ty , doanh nghiệp phát hành mua lại bằng nguồn vốn của công ty mình.</w:t>
      </w:r>
    </w:p>
    <w:p w14:paraId="32DEB93D" w14:textId="77777777" w:rsidR="00E2562E" w:rsidRPr="00EE68EF" w:rsidRDefault="00E2562E" w:rsidP="00E2562E">
      <w:pPr>
        <w:numPr>
          <w:ilvl w:val="0"/>
          <w:numId w:val="24"/>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Cổ phiếu đang lưu hành: là những cổ phiếu đã được phát hành, hiện đang lưu hành trên thị trường và do các cổ đông đang nắm giữ.</w:t>
      </w:r>
    </w:p>
    <w:p w14:paraId="25751DB9" w14:textId="34FF6F1A" w:rsidR="00E2562E" w:rsidRPr="00E2562E" w:rsidRDefault="00E2562E" w:rsidP="00E2562E">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E2562E">
        <w:rPr>
          <w:rFonts w:ascii="Times New Roman" w:hAnsi="Times New Roman" w:cs="Times New Roman"/>
          <w:i/>
          <w:color w:val="000000" w:themeColor="text1"/>
          <w:sz w:val="28"/>
          <w:szCs w:val="28"/>
        </w:rPr>
        <w:t xml:space="preserve">Vướng mắc 3: </w:t>
      </w:r>
      <w:r w:rsidRPr="00E2562E">
        <w:rPr>
          <w:rFonts w:ascii="Times New Roman" w:eastAsia="Times New Roman" w:hAnsi="Times New Roman" w:cs="Times New Roman"/>
          <w:bCs/>
          <w:i/>
          <w:color w:val="000000" w:themeColor="text1"/>
          <w:sz w:val="28"/>
          <w:szCs w:val="28"/>
        </w:rPr>
        <w:t>Các hình thức phát hành chứng khoán</w:t>
      </w:r>
      <w:r>
        <w:rPr>
          <w:rFonts w:ascii="Times New Roman" w:eastAsia="Times New Roman" w:hAnsi="Times New Roman" w:cs="Times New Roman"/>
          <w:bCs/>
          <w:i/>
          <w:color w:val="000000" w:themeColor="text1"/>
          <w:sz w:val="28"/>
          <w:szCs w:val="28"/>
        </w:rPr>
        <w:t>?</w:t>
      </w:r>
    </w:p>
    <w:p w14:paraId="1901FD67" w14:textId="77777777" w:rsidR="00E2562E" w:rsidRPr="00EE68EF" w:rsidRDefault="00E2562E" w:rsidP="00E2562E">
      <w:pPr>
        <w:numPr>
          <w:ilvl w:val="0"/>
          <w:numId w:val="25"/>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Doanh nghiệp được phát hành chứng khoán dưới hình thức hai hình thức là chào bán cho cổ đông hiện hữu, chào bán riêng lẻ hoặc chào bán ra công chúng.</w:t>
      </w:r>
    </w:p>
    <w:p w14:paraId="7C631EEC" w14:textId="264DC9AE" w:rsidR="00E2562E" w:rsidRPr="00EE68EF"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2562E">
        <w:rPr>
          <w:rFonts w:ascii="Times New Roman" w:hAnsi="Times New Roman" w:cs="Times New Roman"/>
          <w:i/>
          <w:color w:val="000000" w:themeColor="text1"/>
          <w:sz w:val="28"/>
          <w:szCs w:val="28"/>
        </w:rPr>
        <w:t xml:space="preserve">Vướng mắc 4: </w:t>
      </w:r>
      <w:r w:rsidRPr="00E2562E">
        <w:rPr>
          <w:rFonts w:ascii="Times New Roman" w:eastAsia="Times New Roman" w:hAnsi="Times New Roman" w:cs="Times New Roman"/>
          <w:bCs/>
          <w:i/>
          <w:color w:val="000000" w:themeColor="text1"/>
          <w:sz w:val="28"/>
          <w:szCs w:val="28"/>
        </w:rPr>
        <w:t>Loại hình công ty nào được phát hành cổ phiếu</w:t>
      </w:r>
    </w:p>
    <w:p w14:paraId="01A64105" w14:textId="77777777" w:rsidR="00E2562E" w:rsidRPr="00EE68EF" w:rsidRDefault="00E2562E" w:rsidP="00E2562E">
      <w:pPr>
        <w:numPr>
          <w:ilvl w:val="0"/>
          <w:numId w:val="26"/>
        </w:numPr>
        <w:shd w:val="clear" w:color="auto" w:fill="FFFFFF"/>
        <w:spacing w:after="0" w:line="288" w:lineRule="auto"/>
        <w:ind w:left="0"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Chúng ta thường cho rằng chỉ có công ty cổ phần mới có quyền phát hành cổ phiếu, tuy nhiên có một trường hợp đặc biệt là công ty trách nhiệm hữu hạn được phát hành cổ phiếu riêng lẻ để chuyển đổi thành công ty cổ phần.</w:t>
      </w:r>
    </w:p>
    <w:p w14:paraId="1CD10233" w14:textId="77777777" w:rsidR="00E2562E" w:rsidRDefault="00E2562E" w:rsidP="00E2562E">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sectPr w:rsidR="00E2562E">
          <w:pgSz w:w="12240" w:h="15840"/>
          <w:pgMar w:top="1440" w:right="1440" w:bottom="1440" w:left="1440" w:header="720" w:footer="720" w:gutter="0"/>
          <w:cols w:space="720"/>
          <w:docGrid w:linePitch="360"/>
        </w:sectPr>
      </w:pPr>
    </w:p>
    <w:p w14:paraId="563F4318" w14:textId="013CA9E0" w:rsidR="003F6913" w:rsidRPr="003F6913" w:rsidRDefault="001E4AB9" w:rsidP="003F6913">
      <w:pPr>
        <w:jc w:val="right"/>
        <w:rPr>
          <w:rFonts w:ascii="Times New Roman" w:hAnsi="Times New Roman"/>
          <w:b/>
          <w:noProof/>
          <w:color w:val="000000" w:themeColor="text1"/>
          <w:sz w:val="28"/>
          <w:szCs w:val="28"/>
          <w:lang w:val="pt-BR"/>
        </w:rPr>
      </w:pPr>
      <w:hyperlink r:id="rId63" w:anchor="_Toc115421348" w:history="1">
        <w:r w:rsidR="003F6913" w:rsidRPr="003F6913">
          <w:rPr>
            <w:rFonts w:ascii="Times New Roman" w:hAnsi="Times New Roman"/>
            <w:b/>
            <w:color w:val="000000" w:themeColor="text1"/>
            <w:sz w:val="28"/>
            <w:szCs w:val="28"/>
            <w:lang w:val="pt-BR"/>
          </w:rPr>
          <w:t xml:space="preserve"> Tham luận</w:t>
        </w:r>
        <w:r w:rsidR="009959A8">
          <w:rPr>
            <w:rFonts w:ascii="Times New Roman" w:hAnsi="Times New Roman"/>
            <w:b/>
            <w:color w:val="000000" w:themeColor="text1"/>
            <w:sz w:val="28"/>
            <w:szCs w:val="28"/>
            <w:lang w:val="pt-BR"/>
          </w:rPr>
          <w:t xml:space="preserve"> 10</w:t>
        </w:r>
        <w:r w:rsidR="003F6913" w:rsidRPr="003F6913">
          <w:rPr>
            <w:rFonts w:ascii="Times New Roman" w:hAnsi="Times New Roman"/>
            <w:b/>
            <w:color w:val="000000" w:themeColor="text1"/>
            <w:sz w:val="28"/>
            <w:szCs w:val="28"/>
            <w:lang w:val="pt-BR"/>
          </w:rPr>
          <w:t xml:space="preserve">: </w:t>
        </w:r>
        <w:r w:rsidR="003F6913" w:rsidRPr="003F6913">
          <w:rPr>
            <w:rFonts w:ascii="Times New Roman" w:hAnsi="Times New Roman"/>
            <w:b/>
            <w:bCs/>
            <w:color w:val="000000" w:themeColor="text1"/>
            <w:sz w:val="28"/>
            <w:szCs w:val="28"/>
          </w:rPr>
          <w:t xml:space="preserve">Những lưu ý khi lựa chọn phát hành cổ phiếu hay trái phiếu. </w:t>
        </w:r>
        <w:r w:rsidR="003F6913" w:rsidRPr="003F6913">
          <w:rPr>
            <w:rFonts w:ascii="Times New Roman" w:hAnsi="Times New Roman"/>
            <w:b/>
            <w:noProof/>
            <w:color w:val="000000" w:themeColor="text1"/>
            <w:sz w:val="28"/>
            <w:szCs w:val="28"/>
            <w:lang w:val="pt-BR"/>
          </w:rPr>
          <w:t>Quy định pháp luật về xử lý hành vi trong chứng khoán</w:t>
        </w:r>
        <w:r w:rsidR="003F6913" w:rsidRPr="003F6913">
          <w:rPr>
            <w:rFonts w:ascii="Times New Roman" w:hAnsi="Times New Roman"/>
            <w:b/>
            <w:noProof/>
            <w:webHidden/>
            <w:color w:val="000000" w:themeColor="text1"/>
            <w:sz w:val="28"/>
            <w:szCs w:val="28"/>
            <w:lang w:val="pt-BR"/>
          </w:rPr>
          <w:t>,</w:t>
        </w:r>
      </w:hyperlink>
      <w:r w:rsidR="003F6913" w:rsidRPr="003F6913">
        <w:rPr>
          <w:rFonts w:ascii="Times New Roman" w:hAnsi="Times New Roman"/>
          <w:b/>
          <w:noProof/>
          <w:color w:val="000000" w:themeColor="text1"/>
          <w:sz w:val="28"/>
          <w:szCs w:val="28"/>
          <w:lang w:val="pt-BR"/>
        </w:rPr>
        <w:t xml:space="preserve"> thực trạng thực thi.</w:t>
      </w:r>
    </w:p>
    <w:p w14:paraId="351B2559" w14:textId="77777777" w:rsidR="00B314C3" w:rsidRPr="00B314C3" w:rsidRDefault="00B314C3" w:rsidP="00B314C3">
      <w:pPr>
        <w:shd w:val="clear" w:color="auto" w:fill="FFFFFF"/>
        <w:spacing w:after="0" w:line="288" w:lineRule="auto"/>
        <w:ind w:firstLine="720"/>
        <w:jc w:val="right"/>
        <w:textAlignment w:val="baseline"/>
        <w:rPr>
          <w:rFonts w:ascii="Times New Roman" w:hAnsi="Times New Roman" w:cs="Times New Roman"/>
          <w:b/>
          <w:i/>
          <w:color w:val="000000" w:themeColor="text1"/>
          <w:sz w:val="28"/>
          <w:szCs w:val="28"/>
        </w:rPr>
      </w:pPr>
      <w:r w:rsidRPr="00B314C3">
        <w:rPr>
          <w:rFonts w:ascii="Times New Roman" w:hAnsi="Times New Roman" w:cs="Times New Roman"/>
          <w:b/>
          <w:i/>
          <w:color w:val="000000" w:themeColor="text1"/>
          <w:sz w:val="28"/>
          <w:szCs w:val="28"/>
        </w:rPr>
        <w:t>TS.</w:t>
      </w:r>
      <w:r w:rsidRPr="00B314C3">
        <w:rPr>
          <w:rFonts w:ascii="Times New Roman" w:hAnsi="Times New Roman"/>
          <w:b/>
          <w:i/>
          <w:color w:val="000000" w:themeColor="text1"/>
          <w:sz w:val="28"/>
          <w:szCs w:val="28"/>
        </w:rPr>
        <w:t xml:space="preserve"> </w:t>
      </w:r>
      <w:r w:rsidRPr="00B314C3">
        <w:rPr>
          <w:rFonts w:ascii="Times New Roman" w:hAnsi="Times New Roman" w:cs="Times New Roman"/>
          <w:b/>
          <w:i/>
          <w:color w:val="000000" w:themeColor="text1"/>
          <w:sz w:val="28"/>
          <w:szCs w:val="28"/>
        </w:rPr>
        <w:t>Trần Nho Thìn - Viện Khoa học Chính sách và Pháp luật</w:t>
      </w:r>
    </w:p>
    <w:p w14:paraId="2BF961F2" w14:textId="77777777" w:rsidR="00B314C3" w:rsidRDefault="00B314C3" w:rsidP="00686D42">
      <w:pPr>
        <w:shd w:val="clear" w:color="auto" w:fill="FFFFFF"/>
        <w:spacing w:after="0" w:line="288" w:lineRule="auto"/>
        <w:ind w:firstLine="720"/>
        <w:jc w:val="both"/>
        <w:textAlignment w:val="baseline"/>
        <w:rPr>
          <w:rFonts w:ascii="Times New Roman" w:eastAsia="Times New Roman" w:hAnsi="Times New Roman" w:cs="Times New Roman"/>
          <w:b/>
          <w:color w:val="000000" w:themeColor="text1"/>
          <w:sz w:val="28"/>
          <w:szCs w:val="28"/>
        </w:rPr>
      </w:pPr>
    </w:p>
    <w:p w14:paraId="43448D43" w14:textId="6D74915C" w:rsidR="00BE3469" w:rsidRPr="00DC695D" w:rsidRDefault="00DC695D" w:rsidP="00686D42">
      <w:pPr>
        <w:shd w:val="clear" w:color="auto" w:fill="FFFFFF"/>
        <w:spacing w:after="0" w:line="288" w:lineRule="auto"/>
        <w:ind w:firstLine="720"/>
        <w:jc w:val="both"/>
        <w:textAlignment w:val="baseline"/>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1. </w:t>
      </w:r>
      <w:r w:rsidR="00BE3469" w:rsidRPr="00DC695D">
        <w:rPr>
          <w:rFonts w:ascii="Times New Roman" w:eastAsia="Times New Roman" w:hAnsi="Times New Roman" w:cs="Times New Roman"/>
          <w:b/>
          <w:color w:val="000000" w:themeColor="text1"/>
          <w:sz w:val="28"/>
          <w:szCs w:val="28"/>
        </w:rPr>
        <w:t>Ưu nhược điểm phát hành cổ phiếu</w:t>
      </w:r>
    </w:p>
    <w:p w14:paraId="37EC0A4C"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Trong phạm vi bài viết này, chúng tôi sẽ chỉ ra những ưu điểm, nhược điểm của việc phát hành cổ phiểu thường.</w:t>
      </w:r>
    </w:p>
    <w:p w14:paraId="7553DFF8"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Cụ thể như sau:</w:t>
      </w:r>
    </w:p>
    <w:p w14:paraId="2DC42F8C"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Về ưu điểm:</w:t>
      </w:r>
    </w:p>
    <w:p w14:paraId="5A60CA7A"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Phát hành cổ phiếu thường giúp cho doanh nghiệp tăng thêm số vốn tự có của mình, đồng thời không bị ràng buộc bởi nghĩa vụ phari trả lợi tức cố định</w:t>
      </w:r>
    </w:p>
    <w:p w14:paraId="4E448223"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=&gt; Khi công ty cổ phần đó có doanh thu chưa cao thì cũng giảm bớt được nguy cơ phá sản trong trường hợp bị mất khả năng chi trả nợ.</w:t>
      </w:r>
    </w:p>
    <w:p w14:paraId="35414E0F"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Khi tình trạng lạm phát xảy ra thì các loại cổ phiếu thường sẽ có sức hấp dẫn, hiệu quả đầu tư tối ưu hơn so với các loại cổ phiếu ưu đãi hay trái phiếu khác.</w:t>
      </w:r>
    </w:p>
    <w:p w14:paraId="255C6B05"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Cổ phiếu thường là một loại chứng khoán có vốn không kỳ hạn, vì thế công ty không phải lo đến vấn đề khi đến kỳ đáo hạn phải trả nợ.</w:t>
      </w:r>
    </w:p>
    <w:p w14:paraId="658262ED"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Một số ưu điểm khác, v.v…</w:t>
      </w:r>
    </w:p>
    <w:p w14:paraId="5619FC35"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Về nhược điểm:</w:t>
      </w:r>
    </w:p>
    <w:p w14:paraId="3DED5C7D"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Khi phát hành cổ phiếu thường thì việc phải san sẻ quyền lực cho các cổ đông mới là điều dễ nhận thấy.</w:t>
      </w:r>
    </w:p>
    <w:p w14:paraId="5601FC14"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Đây là điều ban quản lý và các cổ đông cũ không hề muốn vì nó cũng đồng nghĩa với việc thu nhập từ cổ phần của các cổ đông cũ bị giảm đi khi phải chia bớt theo các cổ phần của các cổ đông mới.</w:t>
      </w:r>
    </w:p>
    <w:p w14:paraId="25306ED9"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Chi phí cho việc phát hành cổ phiếu thường cũng cao hơn so với chi phí để phát hành các loại trái phiếu, cổ phiếu ưu đãi.</w:t>
      </w:r>
    </w:p>
    <w:p w14:paraId="4E193DAB"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Cổ phiếu thường là loại chứng khoán có mức độ rủi ro cao hơn một số loại chứng khoán khác.</w:t>
      </w:r>
    </w:p>
    <w:p w14:paraId="251E077D" w14:textId="7C39DE1B" w:rsidR="00BE3469" w:rsidRPr="00EE68EF" w:rsidRDefault="00BE3469" w:rsidP="00322BCC">
      <w:pPr>
        <w:shd w:val="clear" w:color="auto" w:fill="FFFFFF"/>
        <w:spacing w:after="0" w:line="288" w:lineRule="auto"/>
        <w:ind w:firstLine="720"/>
        <w:jc w:val="both"/>
        <w:textAlignment w:val="baseline"/>
        <w:rPr>
          <w:rFonts w:ascii="Times New Roman" w:eastAsia="Times New Roman" w:hAnsi="Times New Roman" w:cs="Times New Roman"/>
          <w:b/>
          <w:bCs/>
          <w:color w:val="000000" w:themeColor="text1"/>
          <w:sz w:val="28"/>
          <w:szCs w:val="28"/>
        </w:rPr>
      </w:pPr>
      <w:r w:rsidRPr="00EE68EF">
        <w:rPr>
          <w:rFonts w:ascii="Times New Roman" w:eastAsia="Times New Roman" w:hAnsi="Times New Roman" w:cs="Times New Roman"/>
          <w:color w:val="000000" w:themeColor="text1"/>
          <w:sz w:val="28"/>
          <w:szCs w:val="28"/>
        </w:rPr>
        <w:t> </w:t>
      </w:r>
      <w:r w:rsidR="00322BCC">
        <w:rPr>
          <w:rFonts w:ascii="Times New Roman" w:eastAsia="Times New Roman" w:hAnsi="Times New Roman" w:cs="Times New Roman"/>
          <w:b/>
          <w:bCs/>
          <w:color w:val="000000" w:themeColor="text1"/>
          <w:sz w:val="28"/>
          <w:szCs w:val="28"/>
        </w:rPr>
        <w:t>2</w:t>
      </w:r>
      <w:r w:rsidRPr="00EE68EF">
        <w:rPr>
          <w:rFonts w:ascii="Times New Roman" w:eastAsia="Times New Roman" w:hAnsi="Times New Roman" w:cs="Times New Roman"/>
          <w:b/>
          <w:bCs/>
          <w:color w:val="000000" w:themeColor="text1"/>
          <w:sz w:val="28"/>
          <w:szCs w:val="28"/>
        </w:rPr>
        <w:t xml:space="preserve">. </w:t>
      </w:r>
      <w:r w:rsidR="00322BCC" w:rsidRPr="00DC695D">
        <w:rPr>
          <w:rFonts w:ascii="Times New Roman" w:eastAsia="Times New Roman" w:hAnsi="Times New Roman" w:cs="Times New Roman"/>
          <w:b/>
          <w:color w:val="000000" w:themeColor="text1"/>
          <w:sz w:val="28"/>
          <w:szCs w:val="28"/>
        </w:rPr>
        <w:t xml:space="preserve">Ưu nhược điểm </w:t>
      </w:r>
      <w:r w:rsidR="00322BCC">
        <w:rPr>
          <w:rFonts w:ascii="Times New Roman" w:eastAsia="Times New Roman" w:hAnsi="Times New Roman" w:cs="Times New Roman"/>
          <w:b/>
          <w:bCs/>
          <w:color w:val="000000" w:themeColor="text1"/>
          <w:sz w:val="28"/>
          <w:szCs w:val="28"/>
        </w:rPr>
        <w:t>p</w:t>
      </w:r>
      <w:r w:rsidRPr="00EE68EF">
        <w:rPr>
          <w:rFonts w:ascii="Times New Roman" w:eastAsia="Times New Roman" w:hAnsi="Times New Roman" w:cs="Times New Roman"/>
          <w:b/>
          <w:bCs/>
          <w:color w:val="000000" w:themeColor="text1"/>
          <w:sz w:val="28"/>
          <w:szCs w:val="28"/>
        </w:rPr>
        <w:t>hát hành trái phiếu</w:t>
      </w:r>
    </w:p>
    <w:p w14:paraId="0C1214B7"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Nghị định 81/2020/NĐ-CP sửa đổi khoản 8 Điều 6 về giao dịch trái phiếu. Theo đó, trái phiếu doanh nghiệp phát hành tại thị trường trong nước bị hạn chế giao dịch trong phạm vi dưới 100 nhà đầu tư không kể nhà đầu tư chứng khoán chuyên nghiệp, trong vòng một năm kể từ ngày hoàn thành đợt phát hành trừ trường hợp </w:t>
      </w:r>
      <w:r w:rsidRPr="00EE68EF">
        <w:rPr>
          <w:rFonts w:ascii="Times New Roman" w:eastAsia="Times New Roman" w:hAnsi="Times New Roman" w:cs="Times New Roman"/>
          <w:color w:val="000000" w:themeColor="text1"/>
          <w:sz w:val="28"/>
          <w:szCs w:val="28"/>
        </w:rPr>
        <w:lastRenderedPageBreak/>
        <w:t>theo quyết định của Tòa án hoặc thừa kế theo quy định của pháp luật. Sau thời gian nêu trên, trái phiếu doanh nghiệp được giao dịch không hạn chế về số lượng nhà đầu tư, trừ trường hợp doanh nghiệp phát hành có quyết định khác. Trái phiếu doanh nghiệp phát hành ra thị trường quốc tế thực hiện theo quy định về giao dịch tại thị trường phát hành.</w:t>
      </w:r>
    </w:p>
    <w:p w14:paraId="75BE56F5" w14:textId="26893685" w:rsidR="00BE3469" w:rsidRPr="00EE68EF" w:rsidRDefault="00BE3469" w:rsidP="00322BCC">
      <w:pPr>
        <w:shd w:val="clear" w:color="auto" w:fill="FFFFFF"/>
        <w:spacing w:after="0" w:line="288" w:lineRule="auto"/>
        <w:ind w:firstLine="720"/>
        <w:jc w:val="both"/>
        <w:textAlignment w:val="baseline"/>
        <w:rPr>
          <w:rFonts w:ascii="Times New Roman" w:eastAsia="Times New Roman" w:hAnsi="Times New Roman" w:cs="Times New Roman"/>
          <w:b/>
          <w:bCs/>
          <w:color w:val="000000" w:themeColor="text1"/>
          <w:sz w:val="28"/>
          <w:szCs w:val="28"/>
        </w:rPr>
      </w:pPr>
      <w:r w:rsidRPr="00322BCC">
        <w:rPr>
          <w:rFonts w:ascii="Times New Roman" w:eastAsia="Times New Roman" w:hAnsi="Times New Roman" w:cs="Times New Roman"/>
          <w:b/>
          <w:color w:val="000000" w:themeColor="text1"/>
          <w:sz w:val="28"/>
          <w:szCs w:val="28"/>
        </w:rPr>
        <w:t> </w:t>
      </w:r>
      <w:r w:rsidR="00322BCC" w:rsidRPr="00322BCC">
        <w:rPr>
          <w:rFonts w:ascii="Times New Roman" w:eastAsia="Times New Roman" w:hAnsi="Times New Roman" w:cs="Times New Roman"/>
          <w:b/>
          <w:color w:val="000000" w:themeColor="text1"/>
          <w:sz w:val="28"/>
          <w:szCs w:val="28"/>
        </w:rPr>
        <w:t>3</w:t>
      </w:r>
      <w:r w:rsidRPr="00322BCC">
        <w:rPr>
          <w:rFonts w:ascii="Times New Roman" w:eastAsia="Times New Roman" w:hAnsi="Times New Roman" w:cs="Times New Roman"/>
          <w:b/>
          <w:bCs/>
          <w:color w:val="000000" w:themeColor="text1"/>
          <w:sz w:val="28"/>
          <w:szCs w:val="28"/>
        </w:rPr>
        <w:t>.</w:t>
      </w:r>
      <w:r w:rsidRPr="00EE68EF">
        <w:rPr>
          <w:rFonts w:ascii="Times New Roman" w:eastAsia="Times New Roman" w:hAnsi="Times New Roman" w:cs="Times New Roman"/>
          <w:b/>
          <w:bCs/>
          <w:color w:val="000000" w:themeColor="text1"/>
          <w:sz w:val="28"/>
          <w:szCs w:val="28"/>
        </w:rPr>
        <w:t xml:space="preserve"> </w:t>
      </w:r>
      <w:bookmarkStart w:id="11" w:name="_Hlk133057080"/>
      <w:r w:rsidRPr="00EE68EF">
        <w:rPr>
          <w:rFonts w:ascii="Times New Roman" w:eastAsia="Times New Roman" w:hAnsi="Times New Roman" w:cs="Times New Roman"/>
          <w:b/>
          <w:bCs/>
          <w:color w:val="000000" w:themeColor="text1"/>
          <w:sz w:val="28"/>
          <w:szCs w:val="28"/>
        </w:rPr>
        <w:t>Những lưu ý khi lựa chọn phát hành cổ phiếu hay trái phiếu</w:t>
      </w:r>
      <w:bookmarkEnd w:id="11"/>
    </w:p>
    <w:p w14:paraId="221AE759"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Đối với phương thức phát hành cổ phiếu cho phép công ty huy động vốn có hiệu quả các nguổn tài chính trong xã hội để có một số vốn lớn và ổn định cho đầu tư kinh doanh. Đặc trưng của hình thức này là tăng vốn những không tăng nợ của doanh nghiệp mà sẽ làm tăng vốn điều lệ (và vì vậy tăng vốn chủ sỏ hữu) của công ty. Nói cách khác, việc phát hành cổ phiếu cũng có nghĩa là bán một phần quyền sở hữu công ty cho người mua cổ phiếu. Điều này có thể dẫn đến thay đổi vị thế của từng cổ đông trong công ty và vì vậy có thể thay đổi cơ cấu quản lí và kiểm soát công ty. Do đó công ty cần cân nhắc nếu như không muốn có sự xáo trộn lớn giữa quyền và lợi ích giữa các cổ đông trong công ty.</w:t>
      </w:r>
    </w:p>
    <w:p w14:paraId="7D29FBFF"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Còn đối với phương thức huy động vốn bằng cách phát hành trái phiếu, thông thường công ty cổ phần sẽ phát hành lượng vốn cần thiết dưới hình thức trái phiếu thường có kỳ hạn xác định và bán cho công chúng. Khi công ty thực hiện hình thức huy động vốn bằng cách phát hành trái phiếu, việc tăng vốn luôn gắn liền với tăng nợ cho công ty. Với hình thức này, công ty cổ phần có thể huy động được một lượng vốn cần thiết, chi phí kinh doanh sử dụng vốn thấp hơn và không bị người cho vay kiểm soát chặt chẽ so với các hình thức vay vốn khác như ngân hàng, doanh nghiệp. Có một lưu ý rằng khi công ty có ý định huy động vốn bằng phát hành trái phiếu, thì công ty phải nắm chắc kỹ thuật tài chính để tránh được áp lực nợ khi đến hạn và vẫn có lợi nhuận khi kinh tế suy thoái và lạm phát cao xảy ra. Chi phí kinh doanh phát hành trái phiếu cao vì công ty cần phải có sự trợ giúp của ngân hàng thương mại.</w:t>
      </w:r>
    </w:p>
    <w:p w14:paraId="4EB56E75" w14:textId="77777777" w:rsidR="00BE3469" w:rsidRPr="00EE68EF" w:rsidRDefault="00BE3469" w:rsidP="00686D42">
      <w:pPr>
        <w:shd w:val="clear" w:color="auto" w:fill="FFFFFF"/>
        <w:spacing w:after="0" w:line="288" w:lineRule="auto"/>
        <w:ind w:firstLine="720"/>
        <w:jc w:val="both"/>
        <w:textAlignment w:val="baseline"/>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Trên thực tế, công ty cổ phần phải đáp ứng đủ 2 điều kiện sau thì mới được phát hành trái phiếu: tài sản cố định nhỏ hơn tổng sốn vốn và nợ dài hạn của doanh nghiệp.</w:t>
      </w:r>
    </w:p>
    <w:p w14:paraId="3698C28C" w14:textId="2A9901DC" w:rsidR="007E4670" w:rsidRPr="00EE68EF" w:rsidRDefault="00322BCC" w:rsidP="00686D42">
      <w:pPr>
        <w:spacing w:after="0" w:line="288" w:lineRule="auto"/>
        <w:ind w:firstLine="720"/>
        <w:jc w:val="both"/>
        <w:outlineLvl w:val="0"/>
        <w:rPr>
          <w:rFonts w:ascii="Times New Roman" w:eastAsia="Times New Roman" w:hAnsi="Times New Roman" w:cs="Times New Roman"/>
          <w:b/>
          <w:bCs/>
          <w:color w:val="000000" w:themeColor="text1"/>
          <w:kern w:val="36"/>
          <w:sz w:val="28"/>
          <w:szCs w:val="28"/>
        </w:rPr>
      </w:pPr>
      <w:r>
        <w:rPr>
          <w:rFonts w:ascii="Times New Roman" w:eastAsia="Times New Roman" w:hAnsi="Times New Roman" w:cs="Times New Roman"/>
          <w:b/>
          <w:bCs/>
          <w:color w:val="000000" w:themeColor="text1"/>
          <w:kern w:val="36"/>
          <w:sz w:val="28"/>
          <w:szCs w:val="28"/>
        </w:rPr>
        <w:t xml:space="preserve">4. </w:t>
      </w:r>
      <w:r w:rsidR="007E4670" w:rsidRPr="00EE68EF">
        <w:rPr>
          <w:rFonts w:ascii="Times New Roman" w:eastAsia="Times New Roman" w:hAnsi="Times New Roman" w:cs="Times New Roman"/>
          <w:b/>
          <w:bCs/>
          <w:color w:val="000000" w:themeColor="text1"/>
          <w:kern w:val="36"/>
          <w:sz w:val="28"/>
          <w:szCs w:val="28"/>
        </w:rPr>
        <w:t>Một số điểm mới về xử phạt vi phạm hành chính trong lĩnh vực chứng khoán</w:t>
      </w:r>
    </w:p>
    <w:p w14:paraId="5F8415A7" w14:textId="77777777" w:rsidR="007E4670" w:rsidRPr="00322BCC" w:rsidRDefault="007E4670" w:rsidP="00686D42">
      <w:pPr>
        <w:spacing w:after="0" w:line="288" w:lineRule="auto"/>
        <w:ind w:firstLine="720"/>
        <w:jc w:val="both"/>
        <w:outlineLvl w:val="1"/>
        <w:rPr>
          <w:rFonts w:ascii="Times New Roman" w:eastAsia="Times New Roman" w:hAnsi="Times New Roman" w:cs="Times New Roman"/>
          <w:iCs/>
          <w:color w:val="000000" w:themeColor="text1"/>
          <w:sz w:val="28"/>
          <w:szCs w:val="28"/>
        </w:rPr>
      </w:pPr>
      <w:r w:rsidRPr="00322BCC">
        <w:rPr>
          <w:rFonts w:ascii="Times New Roman" w:eastAsia="Times New Roman" w:hAnsi="Times New Roman" w:cs="Times New Roman"/>
          <w:iCs/>
          <w:color w:val="000000" w:themeColor="text1"/>
          <w:sz w:val="28"/>
          <w:szCs w:val="28"/>
        </w:rPr>
        <w:lastRenderedPageBreak/>
        <w:t>Chứng khoán là một trung gian tài chính có sức ảnh hưởng lớn tới nền kinh tế. Đây cũng là lĩnh vực nhạy cảm, phức tạp, do đó, công tác xử phạt vi phạm hành chính (VPHC) cần đủ sức răn đe để phòng các sai phạm trong lĩnh vực này. Bài viết tập trung phân tích một số điểm mới về xử phạt vi phạm hành chính trong lĩnh vực chứng khoán.</w:t>
      </w:r>
    </w:p>
    <w:p w14:paraId="693FA027" w14:textId="3BC10DFA" w:rsidR="007E4670" w:rsidRPr="00EE68EF" w:rsidRDefault="007E4670" w:rsidP="00686D42">
      <w:pPr>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Đặc thù của các VPHC trong lĩnh vực chứng khoán là giá trị của các giao dịch khi bị phát hiện thường cao hơn rất nhiều so với vi phạm hành chính của các lĩnh vực kinh tế khác.</w:t>
      </w:r>
    </w:p>
    <w:p w14:paraId="48EFD501" w14:textId="3ED9B850" w:rsidR="007E4670" w:rsidRPr="00322BCC" w:rsidRDefault="00322BCC" w:rsidP="00686D42">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322BCC">
        <w:rPr>
          <w:rFonts w:ascii="Times New Roman" w:eastAsia="Times New Roman" w:hAnsi="Times New Roman" w:cs="Times New Roman"/>
          <w:bCs/>
          <w:i/>
          <w:color w:val="000000" w:themeColor="text1"/>
          <w:sz w:val="28"/>
          <w:szCs w:val="28"/>
        </w:rPr>
        <w:t xml:space="preserve">4.1. </w:t>
      </w:r>
      <w:r w:rsidR="007E4670" w:rsidRPr="00322BCC">
        <w:rPr>
          <w:rFonts w:ascii="Times New Roman" w:eastAsia="Times New Roman" w:hAnsi="Times New Roman" w:cs="Times New Roman"/>
          <w:bCs/>
          <w:i/>
          <w:color w:val="000000" w:themeColor="text1"/>
          <w:sz w:val="28"/>
          <w:szCs w:val="28"/>
        </w:rPr>
        <w:t>Tổng quan về xử phạt vi phạm hành chính trong lĩnh vực chứng khoán</w:t>
      </w:r>
    </w:p>
    <w:p w14:paraId="33CB633A"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Xử phạt VPHC trong lĩnh vực chứng khoán và thị trường chứng khoán (TTCK) là việc các cơ quan nhà nước có thẩm quyền, dựa trên cơ sở pháp luật hiện hành quyết định áp dụng các biện pháp xử lý và các biện pháp cưỡng chế khác đối với hành vi vi phạm pháp luật về chứng khoán và TTCK tùy theo mức độ vi phạm và hậu quả của những vi phạm gây thiệt hại trên TTCK nhưng chưa đến mức phải truy cứu trách nhiệm hình sự. Đối tượng bị xử phạt vi phạm là các tổ chức, cá nhân có hành vi vi phạm pháp luật trong lĩnh vực chứng khoán và TTCK.</w:t>
      </w:r>
    </w:p>
    <w:p w14:paraId="1CAA7613"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Trên TTCK Việt Nam, các hành vi vi phạm pháp luật trong lĩnh vực chứng khoán và TTCK khá đa dạng, nhưng tập trung ở một số loại vi phạm, chủ yếu là vi phạm quy định công bố thông tin. Việc xử phạt các cá nhân, doanh nghiệp niêm yết đối với việc sai phạm trong công bố thông tin ngày càng nhiều.</w:t>
      </w:r>
    </w:p>
    <w:p w14:paraId="52806DC0"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Điều này cho thấy biểu hiện "nhờn thuốc" từ các doanh nghiệp niêm yết với các hình phạt không đủ răn đe của thanh tra Ủy ban Chứng khoán nhà nước (UBCKNN). Trong thời gian qua, UBCKNN đã xử phạt nhiều cá nhân về hành vi không trung thực trong thực hiện giao dịch chứng khoán. Bên cạnh đó, nhiều vi phạm liên quan đến thao túng giá chứng khoán, giao dịch có tính chất nội gián diễn ra liên tục, lặp đi lặp lại.</w:t>
      </w:r>
    </w:p>
    <w:p w14:paraId="23FF3718"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Từ năm 2020 đến tháng 9/2021, UBCKNN đã xử phạt 659 tổ chức và cá nhân vi phạm hành chính, với tổng số tiền phạt hơn 34 tỷ đồng; trong đó, xử phạt 11 tổ chức, cá nhân có hành vi thao túng, phối hợp chặt chẽ với cơ quan công an xác minh, điều tra các vụ việc thao túng trong giao dịch chứng khoán. Đầu năm 2022, vụ ông Trịnh Văn Quyết - Chủ tịch HĐQT Tập đoàn FLC đã bị khởi tố, bắt giam để điều tra về hành vi thao túng TTCK.</w:t>
      </w:r>
    </w:p>
    <w:p w14:paraId="10F14D1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TTCK càng phát triển thì tính chất, mức độ vi phạm ngày càng phức tạp và tinh vi, gây ảnh hưởng lớn đến hoạt động của TTCK và gây thiệt hại cho nhà đầu tư, đồng thời gây khó khăn cho các cơ quan quản lý trong việc phát hiện và xử lý. Để giảm thiểu và hạn chế các hành vi vi phạm pháp luật, các cơ quan chuyên môn phải có thẩm quyền đủ mạnh để phát hiện các hành vi vi phạm, cùng với chế tài và mức xử phạt đủ sức răn đe.</w:t>
      </w:r>
    </w:p>
    <w:p w14:paraId="1428309F" w14:textId="33DDD914" w:rsidR="007E4670" w:rsidRPr="00322BCC" w:rsidRDefault="00322BCC" w:rsidP="00686D42">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322BCC">
        <w:rPr>
          <w:rFonts w:ascii="Times New Roman" w:eastAsia="Times New Roman" w:hAnsi="Times New Roman" w:cs="Times New Roman"/>
          <w:bCs/>
          <w:i/>
          <w:color w:val="000000" w:themeColor="text1"/>
          <w:sz w:val="28"/>
          <w:szCs w:val="28"/>
        </w:rPr>
        <w:t xml:space="preserve">4.2. </w:t>
      </w:r>
      <w:r w:rsidR="007E4670" w:rsidRPr="00322BCC">
        <w:rPr>
          <w:rFonts w:ascii="Times New Roman" w:eastAsia="Times New Roman" w:hAnsi="Times New Roman" w:cs="Times New Roman"/>
          <w:bCs/>
          <w:i/>
          <w:color w:val="000000" w:themeColor="text1"/>
          <w:sz w:val="28"/>
          <w:szCs w:val="28"/>
        </w:rPr>
        <w:t>Một số điểm mới về xử phạt VPHC trong lĩnh vực chứng khoán</w:t>
      </w:r>
    </w:p>
    <w:p w14:paraId="64DE0A7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Hoạt động xử lý VPHC trong lĩnh vực chứng khoán được thực hiện theo quy định của Luật Chứng khoán năm 2019 và pháp luật về xử lý vi phạm hành chính (Điều 132 - Luật Chứng khoán năm 2019).</w:t>
      </w:r>
    </w:p>
    <w:p w14:paraId="35456F99"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Trước khi Luật Chứng khoán năm 2019 có hiệu lực vào ngày 01/01/2021, việc xử lý vi phạm hành chính thực hiện theo quy định trong Luật Chứng khoán năm 2006, Luật Sửa đổi bổ sung Luật Chứng khoán năm 2010, Luật Xử lý vi phạm hành chính (2012), Nghị định số 108/2013/NĐ- CP (sau đây gọi là Nghị định 108/2013/NĐ-CP) quy định xử phạt VPHC trong lĩnh vực chứng khoán và TTCK, được sửa đổi bổ sung bởi Nghị định số 145/2016-NĐ/CP ngày 01/11/2016 và Nghị định số 156/2020/NĐ-CP (sau đây gọi là Nghị định số 156/2020/NĐ-CP) quy định xử phạt VPHC trong lĩnh vực chứng khoán được quy định theo Luật Chứng khoán năm 2019.</w:t>
      </w:r>
    </w:p>
    <w:p w14:paraId="43D702AB"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Gần đây nhất, Nghị định số 128/2021/NĐ-CP được ban hành ngày 30 tháng 12 năm 2021 sửa đổi bổ sung Nghị định số 156/NĐ-CP (sau đây gọi là Nghị định số 128/2021/NĐ-CP). Những thay đổi trong việc quy định xử lý vi phạm hành chính trong lĩnh vực chứng khoán đều theo hướng bổ sung thêm các hành vi được coi là vi phạm và tăng mức phạt cho phù hợp với thực trạng và mức độ phát triển của thị trường. Nghị định số 128/2021/NĐ-CP, Nghị định số 156/2020/NĐ-CP có một số điểm mới so với Nghị định số 108/2013/NĐ-CP và Nghị định số 145/2016/NĐ-CP như sau:</w:t>
      </w:r>
    </w:p>
    <w:p w14:paraId="2A8E3BE7"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nhất, Nghị định số 156/2020/NĐ-CP đã liệt kê các hành vi VPHC trong lĩnh vực chứng khoán. Đây là điểm khác biệt rất lớn của Nghị định số 156/2020/NĐ-CP so với Nghị định số 108/2013/NĐ-CP và Nghị định số 145/2016/NĐ-CP.</w:t>
      </w:r>
    </w:p>
    <w:p w14:paraId="2D9CE855"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Điều 12 - Luật Chứng khoán năm 2019 có bổ sung các hành vi bị nghiêm cấm trong LVCK, như: sử dụng một hoặc nhiều tài khoản giao dịch của mình hoặc của người khác để thực hiện việc mua bán chứng khoán, nhằm tạo ra cung, cầu giả tạo; </w:t>
      </w:r>
      <w:r w:rsidRPr="00EE68EF">
        <w:rPr>
          <w:rFonts w:ascii="Times New Roman" w:eastAsia="Times New Roman" w:hAnsi="Times New Roman" w:cs="Times New Roman"/>
          <w:color w:val="000000" w:themeColor="text1"/>
          <w:sz w:val="28"/>
          <w:szCs w:val="28"/>
        </w:rPr>
        <w:lastRenderedPageBreak/>
        <w:t>kết hợp tung tin đồn sai sự thật, cung cấp thông tin sai lệch ra công chúng để thao túng giá chứng khoán,…</w:t>
      </w:r>
    </w:p>
    <w:p w14:paraId="7789CF6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Các hành vi bị nghiêm cấm này cũng đã được đưa vào Nghị định số 156/2020/NĐ-CP và bổ sung các chế tài xử lý. Việc bổ sung các hành vi bị nghiêm cấm này phù hợp với thực trạng VPHC trong lĩnh vực chứng khoán ở Việt Nam thời gian qua khi ngày càng nhiều các hoạt động thao túng giá chứng khoán và giao dịch nội gián. Đây là các căn cứ bổ sung nhằm xác định vi phạm và xử phạt VPHC trong lĩnh vực chứng khoán.</w:t>
      </w:r>
    </w:p>
    <w:p w14:paraId="7CE7A4E5"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hai, Nghị định số 156/2020/NĐ-CP bổ sung quy định chi tiết các tổ chức bị xử phạt VPHC trong lĩnh vực chứng khoán và TTCK theo yêu cầu tại Khoản 1 Điều 1 Nghị định số 97/2017/NĐ-CP ngày 18/8/2017 của Chính phủ.</w:t>
      </w:r>
    </w:p>
    <w:p w14:paraId="5DADE1CC"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đó, đối tượng bị xử phạt VPHC trong lĩnh vực chứng khoán và TTCK gồm tổ chức, cá nhân Việt Nam và tổ chức, cá nhân nước ngoài thực hiện hành vi VPHC trong lĩnh vực chứng khoán và TTCK.</w:t>
      </w:r>
    </w:p>
    <w:p w14:paraId="72BC2BA5"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Tổ chức bị xử phạt VPHC trong lĩnh vực chứng khoán và TTCK gồm: công ty đại chúng; doanh nghiệp nhà nước, công ty trách nhiệm hữu hạn một thành viên do doanh nghiệp nhà nước nắm giữ 100% vốn điều lệ, đơn vị sự nghiệp công lập cổ phần hóa dưới hình thức chào bán chứng khoán ra công chúng; tổ chức phát hành; tổ chức niêm yết, tổ chức đăng ký giao dịch; tổ chức tư vấn niêm yết, đăng ký giao dịch; tổ chức kiểm toán được chấp thuận; tổ chức tư vấn chào bán, phát hành, tổ chức bảo lãnh phát hành; tổ chức đấu thầu, đại lý phát hành,...</w:t>
      </w:r>
    </w:p>
    <w:p w14:paraId="37E33F4B"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Như vậy, đối tượng xử phạt VPHC trong lĩnh vực chứng khoán rất đa dạng, từ người mua bán chứng khoán, người sở hữu chứng khoán đến công ty phát hành chứng khoán, công ty bảo lãnh, công ty quản lý quỹ… cho đến các chủ thể quản lý hoạt động chứng khoán, các sở giao dịch và các trung gian giúp cho hoạt động chứng khoán có thể thực hiện được như ngân hàng giám sát cũng có thể bị xử phạt.</w:t>
      </w:r>
    </w:p>
    <w:p w14:paraId="23FFFEE2"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ba, Nghị định số 128/2021/NĐ-CP, Nghị định số 156/2020/NĐ-CP bổ sung Quy định về thời hiệu xử phạt VPHC trong lĩnh vực chứng khoán phù hợp với Luật Xử lý VPHC năm 2020.</w:t>
      </w:r>
    </w:p>
    <w:p w14:paraId="2EE1E763"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Hành vi VPHC đang được thực hiện thì thời hiệu được tính từ ngày người có thẩm quyền thi hành công vụ phát hiện hành vi vi phạm. Như vậy, hành vi vi phạm có thể đã diễn ra trước đó 2 - 3 năm, nhưng tại thời điểm người có thẩm quyền thi hành công vụ phát hiện được tính là thời hiệu xử phạt VPHC trong lĩnh vực chứng </w:t>
      </w:r>
      <w:r w:rsidRPr="00EE68EF">
        <w:rPr>
          <w:rFonts w:ascii="Times New Roman" w:eastAsia="Times New Roman" w:hAnsi="Times New Roman" w:cs="Times New Roman"/>
          <w:color w:val="000000" w:themeColor="text1"/>
          <w:sz w:val="28"/>
          <w:szCs w:val="28"/>
        </w:rPr>
        <w:lastRenderedPageBreak/>
        <w:t>khoán. Đối với hành vi VPHC đã kết thúc, thời hiệu được tính từ ngày chấm dứt hành vi vi phạm.</w:t>
      </w:r>
    </w:p>
    <w:p w14:paraId="2B769F27"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tư, Nghị định số 156/2020/NĐ-CP sửa đổi, bổ sung các hình thức xử phạt bổ sung và biện pháp khắc phục hậu quả để phù hợp với nội dung sửa đổi tại Chương II Nghị định quy định chi tiết chế tài xử phạt đối với từng hành vi vi phạm, điều chỉnh phù hợp với Luật Chứng khoán năm 2019. Cụ thể:</w:t>
      </w:r>
    </w:p>
    <w:p w14:paraId="00C45B03"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 Về hình thức xử phạt bổ sung:</w:t>
      </w:r>
      <w:r w:rsidRPr="00EE68EF">
        <w:rPr>
          <w:rFonts w:ascii="Times New Roman" w:eastAsia="Times New Roman" w:hAnsi="Times New Roman" w:cs="Times New Roman"/>
          <w:color w:val="000000" w:themeColor="text1"/>
          <w:sz w:val="28"/>
          <w:szCs w:val="28"/>
        </w:rPr>
        <w:t> Đình chỉ hoạt động chào mua công khai; hoạt động kinh doanh, dịch vụ chứng khoán; hoạt động bảo lãnh phát hành chứng khoán; hoạt động văn phòng đại diện; hoạt động lưu ký, bù trừ và thanh toán chứng khoán; giao dịch chứng khoán hoặc các hoạt động khác được ghi trong quyết định xử phạt trong thời hạn từ 1 - 12 tháng. Trước đây, Nghị định số 108/2013/NĐ-CP chỉ ghi nhận đình chỉ các hoạt động có thời hạn, không ghi rõ thời gian đình chỉ trong bao lâu. Có nghĩa là mọi quyết định về thời hạn đình chỉ hoạt động do chủ thể có thẩm quyền xử phạt VPHC. Và tước quyền sử dụng Giấy Chứng nhận đăng ký hoạt động văn phòng đại diện, Chứng chỉ hành nghề chứng khoán của cá nhân sai phạm có thời hạn từ 1 - 24 tháng.</w:t>
      </w:r>
    </w:p>
    <w:p w14:paraId="07E42C47"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 Về cách khắc phục,</w:t>
      </w:r>
      <w:r w:rsidRPr="00EE68EF">
        <w:rPr>
          <w:rFonts w:ascii="Times New Roman" w:eastAsia="Times New Roman" w:hAnsi="Times New Roman" w:cs="Times New Roman"/>
          <w:color w:val="000000" w:themeColor="text1"/>
          <w:sz w:val="28"/>
          <w:szCs w:val="28"/>
        </w:rPr>
        <w:t> Khoản 3 Điều 4 Nghị định số 156/2020/NĐ-CP đã khắc phục và bổ sung thêm các biện pháp khắc phục hậu quả từ VPHC trong lĩnh vực chứng khoán so với Nghị định số 108/2013/NĐ-CP như sau: buộc mua tiếp số cổ phiếu hoặc chứng chỉ quỹ đóng còn lại sau khi thực hiện chào mua công khai; buộc thu hồi chứng khoán đã chào bán, phát hành trong khoảng thời gian vượt quá thời gian quy định; buộc tiếp tục thực hiện chào bán, phát hành chứng khoán riêng lẻ theo đúng thời gian quy định,…</w:t>
      </w:r>
    </w:p>
    <w:p w14:paraId="57835D62"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Đặc biệt, so với Nghị định số 145/2016/NĐ-CP, Nghị định số 156/2020/NĐ-CP đã liệt kê cụ thể hơn về biện pháp khắc phục hậu quả: “Buộc lưu ký, quản lý tách biệt tài sản, vốn, chứng khoán, vị thế giao dịch” với từng nhà đầu tư ủy thác, từng quỹ đầu tư chứng khoán… Quy định này nhằm minh bạch hóa hoạt động kinh doanh chứng khoán hơn, từ đó, giúp cho khách hàng tin tưởng hơn khi đầu từ vào TTCK.</w:t>
      </w:r>
    </w:p>
    <w:p w14:paraId="65A269C7"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năm, mở rộng chủ thể có thẩm quyền lập biên bản VPHC trong lĩnh vực chứng khoán.</w:t>
      </w:r>
    </w:p>
    <w:p w14:paraId="22C0F27A"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Các chủ thể có thẩm quyền xử phạt VPHC đồng thời có thẩm quyền lập biên bản VPHC trong lĩnh vực chứng khoán quy định tại Điều 47, Điều 48 Nghị định số 156/2020/NĐ-CP, bao gồm: Chánh Thanh tra Ủy ban Chứng khoán Nhà nước, </w:t>
      </w:r>
      <w:r w:rsidRPr="00EE68EF">
        <w:rPr>
          <w:rFonts w:ascii="Times New Roman" w:eastAsia="Times New Roman" w:hAnsi="Times New Roman" w:cs="Times New Roman"/>
          <w:color w:val="000000" w:themeColor="text1"/>
          <w:sz w:val="28"/>
          <w:szCs w:val="28"/>
        </w:rPr>
        <w:lastRenderedPageBreak/>
        <w:t>Trưởng đoàn thanh tra chuyên ngành của Ủy ban Chứng khoán Nhà nước; Chủ tịch Ủy ban Chứng khoán Nhà nước; Chủ tịch Ủy ban nhân dân cấp tỉnh có thẩm quyền.</w:t>
      </w:r>
    </w:p>
    <w:p w14:paraId="5F22FD79"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cạnh đó, Khoản 2 Điều 48 Nghị định số 156/2020/NĐ-CP bổ sung thêm đối tượng có thẩm quyền lập biên bản là: Công chức thuộc ngành Tài chính đang thi hành nhiệm vụ, công vụ; công chức, viên chức, người có thẩm quyền đang thi hành nhiệm vụ, công vụ theo văn bản quy phạm pháp luật hoặc văn bản hành chính do cơ quan, người có thẩm quyền ban hành khi phát hiện hành vi VPHC.</w:t>
      </w:r>
    </w:p>
    <w:p w14:paraId="5C62EBEA"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Quy định như vậy là phù hợp với việc bổ sung quy định xử phạt đối với hoạt động phát hành trái phiếu doanh nghiệp theo hình thức riêng lẻ. Chủ thể có thẩm quyền lập biên bản VPHC đã bổ sung so với Nghị định số 108/2013/NĐ-CP trước đây chỉ áp dụng với đối tượng là công chức, viên chức thuộc Ủy ban Chứng khoán Nhà nước.</w:t>
      </w:r>
    </w:p>
    <w:p w14:paraId="5A014B7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sáu, tăng mức phạt tiền đối với cá nhân, tổ chức VPHC trong lĩnh vực chứng khoán và TTCK.</w:t>
      </w:r>
    </w:p>
    <w:p w14:paraId="7EBA18A8"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Tương ứng với mức phạt tiền tối đa trong lĩnh vực chứng khoán đã được nâng lên theo quy định tại Điều 132 Luật Chứng khoán 2019, mức phạt tiền trong hình thức phạt tiền theo Điều 5 Nghị định số 156/2020/NĐ-CP được quy định như sau:</w:t>
      </w:r>
    </w:p>
    <w:p w14:paraId="4450D6D9"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Mức phạt tiền tối đa đối với hành vi vi phạm sử dụng thông tin nội bộ để mua, bán chứng khoán, vi phạm thao túng TTCK (đây cũng chính là các hành vi bị cấm trong lĩnh vực chứng khoán) là 10 lần khoản thu trái pháp luật đối với tổ chức và 5 lần khoản thu trái pháp luật đối với cá nhân. Nếu không có khoản thu trái pháp luật, hoặc mức phạt tính theo khoản thu trái pháp luật thấp hơn mức phạt tiền tối đa tối đa là 3 tỷ đồng với tổ chức, 1,5 tỷ đồng với cá nhân, thì áp dụng mức phạt tiền tối đa đó để xử phạt.</w:t>
      </w:r>
    </w:p>
    <w:p w14:paraId="6C4F195F"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Mức phạt tiền tối đa trong xử phạt VPHC đối với các hành vi vi phạm khác trong lĩnh vực chứng khoán là 3 tỷ đồng đối với tổ chức và 1,5 tỷ đồng đối với cá nhân. Trường hợp cá nhân có hành vi vi phạm như của tổ chức thì mức phạt tiền bằng 1/2 mức phạt tiền đối với tổ chức. Mức phạt này đã tăng so với quy định trước đây tại Nghị định số 145/2016/NĐ-CP: tối đa với tổ chức vi phạm là 2 tỷ đồng; với cá nhân vi phạm là 1 tỷ đồng.</w:t>
      </w:r>
    </w:p>
    <w:p w14:paraId="318D49D9"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bảy, về vi phạm thao túng TTCK.</w:t>
      </w:r>
    </w:p>
    <w:p w14:paraId="1456D8E2"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Nghị định số 156/2020/NĐ-CP quy định xử phạt VPHC trong lĩnh vực chứng khoán và TTCK lại đưa ra định nghĩa về thao túng TTCK là việc thực hiện hành vi </w:t>
      </w:r>
      <w:r w:rsidRPr="00EE68EF">
        <w:rPr>
          <w:rFonts w:ascii="Times New Roman" w:eastAsia="Times New Roman" w:hAnsi="Times New Roman" w:cs="Times New Roman"/>
          <w:color w:val="000000" w:themeColor="text1"/>
          <w:sz w:val="28"/>
          <w:szCs w:val="28"/>
        </w:rPr>
        <w:lastRenderedPageBreak/>
        <w:t>bị nghiêm cấm trong hoạt động về chứng khoán và TTCK quy định tạiKhoản 3 Điều 12 Luật Chứng khoán năm 2019. Các hành vi thao túng TTCK này tương đồng với cách quy định tại Khoản 1 Điều 211 Bộ luật Hình sự 2015 về tội thao túng TTCK.</w:t>
      </w:r>
    </w:p>
    <w:p w14:paraId="62CB21C7"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Trong trường hợp hành vi thao túng TTCK mà chưa đến mức bị truy cứu trách nhiệm hình sự sẽ bị phạt tiền 10 lần khoản thu trái pháp luật nhưng không thấp hơn mức phạt tiền tối đa quy định tại khoản 2 Điều 5 Nghị định số 156/2020/NĐ-CP đối với hành vi thao túng TTCK mà chưa đến mức bị truy cứu trách nhiệm hình sự.</w:t>
      </w:r>
    </w:p>
    <w:p w14:paraId="25DBBAAB"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không có khoản thu trái pháp luật hoặc mức phạt tính theo khoản thu trái pháp luật thấp hơn mức phạt tiền tối đa quy định tại khoản 2 Điều 5 Nghị định số 156/2020/NĐ-CP thì áp dụng mức phạt tiền tối đa quy định tại khoản 2 Điều 5 Nghị định số 156/2020/NĐ-CP để xử phạt.</w:t>
      </w:r>
    </w:p>
    <w:p w14:paraId="7994F0C2"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Ngoài ra, đối tượng có hành vi thao túng TTCK có thể bị áp dụng các hình thức xử phạt bổ sung là đình chỉ hoạt động kinh doanh, dịch vụ chứng khoán trong thời hạn từ 1 - 3 tháng hoặc tước quyền sử dụng chứng chỉ hành nghề chứng khoán trong thời hạn từ 18 - 24 tháng, áp dụng biện pháp khắc phục hậu quả là buộc nộp lại khoản thu trái pháp luật.</w:t>
      </w:r>
    </w:p>
    <w:p w14:paraId="61E53CFC"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i/>
          <w:iCs/>
          <w:color w:val="000000" w:themeColor="text1"/>
          <w:sz w:val="28"/>
          <w:szCs w:val="28"/>
        </w:rPr>
        <w:t>Thứ tám, bổ sung quy định về xử phạt vi phạm quy định phát hành thêm cổ phiếu và không thông báo tỷ lệ sở hữu nước ngoài tối đa bị phạt tới 70 triệu đồng.</w:t>
      </w:r>
    </w:p>
    <w:p w14:paraId="326168CA"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Nghị định số 128/2021/NĐ-CP cũng bổ sung Điều 15a quy định xử phạt vi phạm quy định về thông báo tỷ lệ sở hữu nước ngoài tối đa tại công ty đại chúng.</w:t>
      </w:r>
    </w:p>
    <w:p w14:paraId="5DFDCDAB"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đó, phạt tiền từ 30 - 50 triệu đồng đối với công ty đại chúng thực hiện thông báo thay đổi tỷ lệ sở hữu nước ngoài tối đa không đúng thời gian quy định. Phạt tiền từ 50 - 70 triệu đồng đối với công ty đại chúng không thực hiện thông báo tỷ lệ sở hữu nước ngoài tối đa hoặc về thay đổi tỷ lệ sở hữu nước ngoài tối đa. Nếu bán cổ phiếu quỹ trước thời gian quy định; không hoàn thành việc bán cổ phiếu quỹ trong thời hạn quy định bị phạt từ 50 - 70 triệu đồng.</w:t>
      </w:r>
    </w:p>
    <w:p w14:paraId="6CC8137A"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Đối với hành vi vi phạm quy định về báo cáo, Nghị định bổ sung thêm mức phạt tiền từ 100 - 200 triệu đồng đối với hành vi báo cáo có nội dung sai lệch hoặc sai sự thật.</w:t>
      </w:r>
    </w:p>
    <w:p w14:paraId="52A020E9" w14:textId="4754AA1B" w:rsidR="007E4670"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Nghị định số 128/2021/NĐ-CP bổ sung thêm mức phạt tiền từ 100 - 150 triệu đồng đối với hành vi không chuyển số tiền thu được từ đợt phát hành thêm vào tài khoản phong tỏa tại ngân hàng, chi nhánh ngân hàng nước ngoài; sử dụng số tiền </w:t>
      </w:r>
      <w:r w:rsidRPr="00EE68EF">
        <w:rPr>
          <w:rFonts w:ascii="Times New Roman" w:eastAsia="Times New Roman" w:hAnsi="Times New Roman" w:cs="Times New Roman"/>
          <w:color w:val="000000" w:themeColor="text1"/>
          <w:sz w:val="28"/>
          <w:szCs w:val="28"/>
        </w:rPr>
        <w:lastRenderedPageBreak/>
        <w:t>thu được từ đợt chào bán trước khi Ủy ban Chứng khoán Nhà nước có thông báo bằng văn bản về việc nhận được báo cáo kết quả đợt phát hành.</w:t>
      </w:r>
    </w:p>
    <w:p w14:paraId="4E057D29" w14:textId="77777777" w:rsidR="006E3A71" w:rsidRPr="006E3A71" w:rsidRDefault="006E3A71" w:rsidP="006E3A71">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6E3A71">
        <w:rPr>
          <w:rFonts w:ascii="Times New Roman" w:eastAsia="Times New Roman" w:hAnsi="Times New Roman" w:cs="Times New Roman"/>
          <w:bCs/>
          <w:i/>
          <w:color w:val="000000" w:themeColor="text1"/>
          <w:sz w:val="28"/>
          <w:szCs w:val="28"/>
        </w:rPr>
        <w:t>Nghiêm cấm sử dụng thông tin nội bộ để mua, bán chứng khoán</w:t>
      </w:r>
    </w:p>
    <w:p w14:paraId="439F7D50"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quy định tại Điều 35 Nghị định này, hành vi sử dụng thông tin nội bộ để mua, bán chứng khoán mà chưa đến mức bị truy cứu trách nhiệm hình sự sẽ bị phạt tiền gấp 10 lần khoản thu trái pháp luật nhưng không thấp hơn mức phạt tiền tối đa quy định tại khoản 2 Điều 5 Nghị định số 156/2020/NĐ-CP.</w:t>
      </w:r>
    </w:p>
    <w:p w14:paraId="589743B9"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không có khoản thu trái pháp luật hoặc mức phạt tính theo khoản thu trái pháp luật thấp hơn mức phạt tiền tối đa quy định tại khoản 2 Điều 5 Nghị định này thì áp dụng mức phạt tiền tối đa quy định tại khoản 2 Điều 5 Nghị định này để xử phạt.</w:t>
      </w:r>
    </w:p>
    <w:p w14:paraId="3E0DEBFF"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Ngoài ra, đối tượng có hành vi vi phạm còn có thể bị xử phạt bổ sung:</w:t>
      </w:r>
    </w:p>
    <w:p w14:paraId="37235CAB"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Đình chỉ hoạt động kinh doanh, dịch vụ chứng khoán trong thời hạn từ 01 tháng đến 03 tháng đối với công ty chứng khoán, công ty quản lý quỹ đầu tư chứng khoán, chi nhánh công ty chứng khoán hoặc công ty quản lý quỹ nước ngoài tại Việt Nam có hành vi vi phạm.</w:t>
      </w:r>
    </w:p>
    <w:p w14:paraId="62A6ED73"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Tước quyền sử dụng chứng chỉ hành nghề chứng khoán trong thời hạn từ 18 tháng đến 24 tháng đối với người hành nghề chứng khoán có hành vi vi phạm.</w:t>
      </w:r>
    </w:p>
    <w:p w14:paraId="38F0531B"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cạnh đó, đối tượng có hành vi vi phạm bị buộc nộp lại khoản thu trái pháp luật có được do sử dụng thông tin nội bộ để mua, bán chứng khoán.</w:t>
      </w:r>
    </w:p>
    <w:p w14:paraId="76B11616" w14:textId="77777777" w:rsidR="006E3A71" w:rsidRPr="006E3A71" w:rsidRDefault="006E3A71" w:rsidP="006E3A71">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6E3A71">
        <w:rPr>
          <w:rFonts w:ascii="Times New Roman" w:eastAsia="Times New Roman" w:hAnsi="Times New Roman" w:cs="Times New Roman"/>
          <w:bCs/>
          <w:i/>
          <w:color w:val="000000" w:themeColor="text1"/>
          <w:sz w:val="28"/>
          <w:szCs w:val="28"/>
        </w:rPr>
        <w:t>Vi phạm thao túng thị trường chứng khoán</w:t>
      </w:r>
    </w:p>
    <w:p w14:paraId="02A93DAF"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Theo Nghị định, “thao túng thị trường chứng khoán” là việc thực hiện hành vi bị nghiêm cấm trong hoạt động về chứng khoán và thị trường chứng khoán quy định tại khoản 3 Điều 12 Luật Chứng khoán, gồm một, một số hoặc tất cả các hành vi dưới đây:</w:t>
      </w:r>
    </w:p>
    <w:p w14:paraId="31B0276F"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1. Sử dụng một hoặc nhiều tài khoản giao dịch của mình hoặc của người khác hoặc thông đồng liên tục mua, bán chứng khoán nhằm tạo ra cung, cầu giả tạo.</w:t>
      </w:r>
    </w:p>
    <w:p w14:paraId="4DE5A465"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2. Đặt lệnh mua và bán cùng loại chứng khoán trong cùng ngày giao dịch hoặc thông đồng với nhau giao dịch mua, bán chứng khoán mà không dẫn đến chuyển nhượng thực sự quyền sở hữu hoặc quyền sở hữu chỉ luân chuyển giữa các thành viên trong nhóm nhằm tạo giá chứng khoán, cung cầu giả tạo.</w:t>
      </w:r>
    </w:p>
    <w:p w14:paraId="7DE083B7"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lastRenderedPageBreak/>
        <w:t>3. Liên tục mua hoặc bán chứng khoán với khối lượng chi phối vào thời điểm mở cửa hoặc đóng cửa thị trường nhằm tạo ra mức giá đóng cửa hoặc giá mở cửa mới cho loại chứng khoán đó trên thị trường.</w:t>
      </w:r>
    </w:p>
    <w:p w14:paraId="2929F932"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4. Giao dịch chứng khoán bằng hình thức cấu kết, lôi kéo người khác liên tục đặt lệnh mua, bán chứng khoán gây ảnh hưởng lớn đến cung cầu và giá chứng khoán, thao túng giá chứng khoán.</w:t>
      </w:r>
    </w:p>
    <w:p w14:paraId="4A49B46D"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5. Đưa ra ý kiến một cách trực tiếp hoặc gián tiếp thông qua phương tiện thông tin đại chúng về một loại chứng khoán, về tổ chức phát hành chứng khoán nhằm tạo ảnh hưởng đến giá của loại chứng khoán đó sau khi đã thực hiện giao dịch và nắm giữ vị thế đối với loại chứng khoán đó.</w:t>
      </w:r>
    </w:p>
    <w:p w14:paraId="089B9B75"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6. Sử dụng các phương thức hoặc thực hiện các hành vi giao dịch khác hoặc kết hợp tung tin đồn sai sự thật, cung cấp thông tin sai lệch ra công chúng để tạo cung cầu giả tạo, thao túng giá chứng khoán.</w:t>
      </w:r>
    </w:p>
    <w:p w14:paraId="54A79385"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Căn cứ Điều 35 Nghị định số 156/2020/NĐ-CP, hành vi thao túng thị trường chứng khoán mà chưa đến mức bị truy cứu trách nhiệm hình sự sẽ bị phạt tiền 10 lần khoản thu trái pháp luật nhưng không thấp hơn mức phạt tiền tối đa quy định tại khoản 2 Điều 5 Nghị định số 156/2020/NĐ-CP.</w:t>
      </w:r>
    </w:p>
    <w:p w14:paraId="3BD3421D"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Trường hợp không có khoản thu trái pháp luật hoặc mức phạt tính theo khoản thu trái pháp luật thấp hơn mức phạt tiền tối đa quy định tại khoản 2 Điều 5 Nghị định này thì áp dụng mức phạt tiền tối đa quy định tại khoản 2 Điều 5 Nghị định này để xử phạt.</w:t>
      </w:r>
    </w:p>
    <w:p w14:paraId="329C227C"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Ngoài ra, đối tượng có hành vi thao túng thị trường chứng khoán có thể bị áp dụng các hình thức xử phạt bổ sung là đình chỉ hoạt động kinh doanh, dịch vụ chứng khoán trong thời hạn từ 01 tháng đến 03 tháng hoặc tước quyền sử dụng chứng chỉ hành nghề chứng khoán trong thời hạn từ 18 tháng đến 24 tháng…</w:t>
      </w:r>
    </w:p>
    <w:p w14:paraId="2AE3C19F"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Đáng chú ý, đối với hành vi vi phạm xảy ra trước thời điểm Nghị định số 156/2020/NĐ-CP có hiệu lực mà bị phát hiện hoặc xem xét ra quyết định xử phạt khi Nghị định số 156/2020/NĐ-CP đã có hiệu lực thì áp dụng quy định của Nghị định số 156/2020/NĐ-CP nếu Nghị định này không quy định trách nhiệm pháp lý hoặc quy định trách nhiệm pháp lý nhẹ hơn.</w:t>
      </w:r>
    </w:p>
    <w:p w14:paraId="7E87AAAE" w14:textId="77777777" w:rsidR="006E3A71" w:rsidRPr="00EE68EF" w:rsidRDefault="006E3A71" w:rsidP="006E3A71">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Đối với quyết định xử phạt vi phạm hành chính đã được ban hành trước ngày Nghị định số 156/2020/NĐ-CP có hiệu lực thi hành mà cá nhân, tổ chức bị xử phạt vi phạm hành chính còn khiếu nại thì áp dụng quy định của Luật Xử lý vi phạm hành </w:t>
      </w:r>
      <w:r w:rsidRPr="00EE68EF">
        <w:rPr>
          <w:rFonts w:ascii="Times New Roman" w:eastAsia="Times New Roman" w:hAnsi="Times New Roman" w:cs="Times New Roman"/>
          <w:color w:val="000000" w:themeColor="text1"/>
          <w:sz w:val="28"/>
          <w:szCs w:val="28"/>
        </w:rPr>
        <w:lastRenderedPageBreak/>
        <w:t>chính, Nghị định số 108/2013/NĐ-CP và Nghị định số 145/2016/NĐ-CP để giải quyết.</w:t>
      </w:r>
    </w:p>
    <w:p w14:paraId="641B7291" w14:textId="2739C1A8" w:rsidR="007E4670" w:rsidRPr="00EE68EF" w:rsidRDefault="00322BCC"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5. </w:t>
      </w:r>
      <w:r w:rsidR="007E4670" w:rsidRPr="00EE68EF">
        <w:rPr>
          <w:rFonts w:ascii="Times New Roman" w:eastAsia="Times New Roman" w:hAnsi="Times New Roman" w:cs="Times New Roman"/>
          <w:b/>
          <w:bCs/>
          <w:color w:val="000000" w:themeColor="text1"/>
          <w:sz w:val="28"/>
          <w:szCs w:val="28"/>
        </w:rPr>
        <w:t>Đánh giá về các quy định pháp luật về xử phạt VPHC trong lĩnh vực chứng khoán</w:t>
      </w:r>
    </w:p>
    <w:p w14:paraId="0C072269"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Đặc thù của các VPHC trong lĩnh vực chứng khoán là giá trị của các giao dịch khi bị phát hiện thường cao hơn rất nhiều so với vi phạm hành chính của các lĩnh vực kinh tế khác. Những hành vi VPHC trong lĩnh vực chứng khoán cần phải được xử lý nghiêm, vì điều này ảnh hưởng đến môi trường đầu tư, ảnh hưởng đến kênh thu hút vốn quan trọng của nền kinh tế. Do vậy, việc tăng mức phạt tiền như Nghị định số 128/2021/NĐ-CP, Nghị định số 156/2020/NĐ-CP cùng các chế tài xử phạt chắc chắn sẽ có tính răn đe đối với những đối tượng có ý định vi phạm và thao túng giá cổ phiếu.</w:t>
      </w:r>
    </w:p>
    <w:p w14:paraId="08BFC1A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Nghị định số 128/2021/NĐ-CP và Nghị định số 156/2020/NĐ-CP triển khai hiệu quả hay không phụ thuộc vào yếu tố quan trọng hàng đầu là cần phải tuyên truyền, giáo dục cho các thành viên TTCK hiểu và nắm rõ các quy định về hành vi VPHC trong lĩnh vực chứng khoán và TTCK kèm theo là các mức xử phạt tương ứng. Hình thức tuyên truyền khá phong phú và đa dạng, như: hội thảo, hội nghị, các buổi tập huấn, mở các cuộc thi tìm hiểu về Nghị định, mở đường dây nóng hỏi đáp về xử phạt VPHC trong lĩnh vực chứng khoán,…</w:t>
      </w:r>
    </w:p>
    <w:p w14:paraId="3F75F824"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Bên cạnh đó, các cơ quan, bộ phận có thẩm quyền kiểm tra, giám sát và thanh tra trên TTCK cần tích cực phát huy vai trò của mình trong các hoạt động chuyên môn, nghiệp vụ để phát hiện và xử lý kịp thời các hành vi vi phạm để ngăn chặn sự tác động xấu đến thị trường, đảm bảo tính răn đe của pháp luật.</w:t>
      </w:r>
    </w:p>
    <w:p w14:paraId="2BBD654E" w14:textId="77777777"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Ngoài ra, bộ phận kiểm soát nội bộ tại các công ty chứng khoán, Ban Kiểm soát/Ủy ban Kiểm toán của các công ty đại chúng, công ty niêm yết cũng cần có nhận thức đúng đắn hơn về vai trò của mình trong việc phát hiện và đề xuất xử lý kịp thời các hành vi vi phạm trong phạm vi nội bộ công ty cũng như trong việc phối hợp chặt chẽ với các cơ quan có thẩm quyền trong việc phát hiện và xử lý những hành vi vi phạm trong lĩnh vực chứng khoán và TTCK.</w:t>
      </w:r>
    </w:p>
    <w:p w14:paraId="1BE42E37" w14:textId="77777777" w:rsidR="007E4670" w:rsidRPr="007F6ADF" w:rsidRDefault="007E4670" w:rsidP="00686D42">
      <w:pPr>
        <w:shd w:val="clear" w:color="auto" w:fill="FFFFFF"/>
        <w:spacing w:after="0" w:line="288" w:lineRule="auto"/>
        <w:ind w:firstLine="720"/>
        <w:jc w:val="both"/>
        <w:rPr>
          <w:rFonts w:ascii="Times New Roman" w:eastAsia="Times New Roman" w:hAnsi="Times New Roman" w:cs="Times New Roman"/>
          <w:i/>
          <w:color w:val="000000" w:themeColor="text1"/>
          <w:sz w:val="28"/>
          <w:szCs w:val="28"/>
        </w:rPr>
      </w:pPr>
      <w:r w:rsidRPr="007F6ADF">
        <w:rPr>
          <w:rFonts w:ascii="Times New Roman" w:eastAsia="Times New Roman" w:hAnsi="Times New Roman" w:cs="Times New Roman"/>
          <w:b/>
          <w:bCs/>
          <w:i/>
          <w:color w:val="000000" w:themeColor="text1"/>
          <w:sz w:val="28"/>
          <w:szCs w:val="28"/>
        </w:rPr>
        <w:t>Kết luận</w:t>
      </w:r>
    </w:p>
    <w:p w14:paraId="1BCDB565" w14:textId="55A34CCE" w:rsidR="007E4670" w:rsidRPr="00EE68EF" w:rsidRDefault="007E4670" w:rsidP="00686D42">
      <w:pPr>
        <w:shd w:val="clear" w:color="auto" w:fill="FFFFFF"/>
        <w:spacing w:after="0" w:line="288" w:lineRule="auto"/>
        <w:ind w:firstLine="720"/>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Nội dung của Nghị định số 128/2021/NĐ-CP, Nghị định số 156/2020/NĐ-CP đã đảm bảo tính kế thừa các quy định hiện hành tại Nghị định số 108/2013/NĐ-CP và Nghị định số 145/2016/NĐ-CP, đảm bảo được sự phù hợp với thực tiễn của </w:t>
      </w:r>
      <w:r w:rsidRPr="00EE68EF">
        <w:rPr>
          <w:rFonts w:ascii="Times New Roman" w:eastAsia="Times New Roman" w:hAnsi="Times New Roman" w:cs="Times New Roman"/>
          <w:color w:val="000000" w:themeColor="text1"/>
          <w:sz w:val="28"/>
          <w:szCs w:val="28"/>
        </w:rPr>
        <w:lastRenderedPageBreak/>
        <w:t>TTCK, đồng thời cũng bổ sung được các hành vi vi phạm mới và chế tài xử phạt phù hợp với Luật Chứng khoán 2019, Luật Xử lý VPHC, pháp luật phòng chống rửa tiền… đã tác động tích cực đến TTCK Việt Nam, góp phần hướng tới một TTCK công khai, minh bạch. Phát huy tốt quy định về xử phạt VPHC sẽ đóng vai trò không nhỏ đến việc cải thiện niềm tin của nhà đầu tư, là điều kiện tiên quyết để thúc đẩy TTCK Việt Nam sẽ phát triển hơn nữa trong giai đoạn tiếp theo.</w:t>
      </w:r>
    </w:p>
    <w:p w14:paraId="74CEE927" w14:textId="21318519" w:rsidR="00226B17" w:rsidRPr="00884DDB" w:rsidRDefault="00226B17" w:rsidP="009959A8">
      <w:pPr>
        <w:pStyle w:val="ListParagraph"/>
        <w:numPr>
          <w:ilvl w:val="0"/>
          <w:numId w:val="55"/>
        </w:numPr>
        <w:spacing w:after="0" w:line="288" w:lineRule="auto"/>
        <w:ind w:left="0" w:firstLine="576"/>
        <w:jc w:val="both"/>
        <w:outlineLvl w:val="0"/>
        <w:rPr>
          <w:rFonts w:ascii="Times New Roman" w:eastAsia="Times New Roman" w:hAnsi="Times New Roman" w:cs="Times New Roman"/>
          <w:b/>
          <w:bCs/>
          <w:color w:val="000000" w:themeColor="text1"/>
          <w:kern w:val="36"/>
          <w:sz w:val="28"/>
          <w:szCs w:val="28"/>
        </w:rPr>
      </w:pPr>
      <w:r w:rsidRPr="00884DDB">
        <w:rPr>
          <w:rFonts w:ascii="Times New Roman" w:eastAsia="Times New Roman" w:hAnsi="Times New Roman" w:cs="Times New Roman"/>
          <w:b/>
          <w:bCs/>
          <w:color w:val="000000" w:themeColor="text1"/>
          <w:kern w:val="36"/>
          <w:sz w:val="28"/>
          <w:szCs w:val="28"/>
        </w:rPr>
        <w:t>Tình huống</w:t>
      </w:r>
    </w:p>
    <w:p w14:paraId="2B6134D4" w14:textId="77777777" w:rsidR="009959A8" w:rsidRPr="009959A8" w:rsidRDefault="007E4670" w:rsidP="009959A8">
      <w:pPr>
        <w:spacing w:after="0" w:line="288" w:lineRule="auto"/>
        <w:ind w:firstLine="576"/>
        <w:jc w:val="both"/>
        <w:outlineLvl w:val="0"/>
        <w:rPr>
          <w:rFonts w:ascii="Times New Roman" w:eastAsia="Times New Roman" w:hAnsi="Times New Roman" w:cs="Times New Roman"/>
          <w:bCs/>
          <w:i/>
          <w:color w:val="000000" w:themeColor="text1"/>
          <w:kern w:val="36"/>
          <w:sz w:val="28"/>
          <w:szCs w:val="28"/>
        </w:rPr>
      </w:pPr>
      <w:r w:rsidRPr="009959A8">
        <w:rPr>
          <w:rFonts w:ascii="Times New Roman" w:eastAsia="Times New Roman" w:hAnsi="Times New Roman" w:cs="Times New Roman"/>
          <w:bCs/>
          <w:i/>
          <w:color w:val="000000" w:themeColor="text1"/>
          <w:kern w:val="36"/>
          <w:sz w:val="28"/>
          <w:szCs w:val="28"/>
        </w:rPr>
        <w:t>Xử phạt vi phạm hành chính trong lĩnh vực chứng khoán và thị trường chứng khoán đối với Công ty cổ phần Chứng khoán APG </w:t>
      </w:r>
    </w:p>
    <w:p w14:paraId="2DD9DBDE" w14:textId="171212A0" w:rsidR="007E4670" w:rsidRPr="00EE68EF" w:rsidRDefault="007E4670" w:rsidP="009959A8">
      <w:pPr>
        <w:spacing w:after="0" w:line="288" w:lineRule="auto"/>
        <w:ind w:firstLine="576"/>
        <w:jc w:val="both"/>
        <w:outlineLvl w:val="0"/>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Ngày 05/12/2022, Ủy ban Chứng khoán Nhà nước (UBCKNN) ban hành Quyết định số 1001/QĐ-XPHC về việc xử phạt vi phạm hành chính đối với Công ty cổ phần Chứng khoán APG (Công ty) (Địa chỉ trụ sở chính: Tầng 5, tòa nhà Grand Building, số 32 Hòa Mã, quận Hai Bà Trưng, thành phố Hà Nội), cụ thể như sau:</w:t>
      </w:r>
    </w:p>
    <w:p w14:paraId="19D4A672"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Phạt tiền 60.000.000 đồng theo quy định tại điểm c khoản 1 Điều 26 Nghị định số 156/2020/NĐ-CP ngày 31/12/2020 của Chính phủ quy định xử phạt vi phạm hành chính trong lĩnh vực chứng khoán và thị trường chứng khoán (Nghị định số 156/2020/NĐ-CP) do lập, xác nhận hồ sơ đăng ký cung cấp dịch vụ giao dịch chứng khoán trực tuyến có thông tin không chính xác (Công ty đã lập, xác nhận Hồ sơ đăng ký cung cấp dịch vụ giao dịch chứng khoán trực tuyến có thông tin không chính xác về giải pháp xác thực đặt lệnh sử dụng chứng thư số, chữ ký số và xác thực đặt lệnh trong giao dịch chứng khoán trực tuyến).</w:t>
      </w:r>
    </w:p>
    <w:p w14:paraId="0E02323E"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xml:space="preserve">- Phạt tiền 100.000.000 đồng theo quy định tại Điểm a khoản 3 Điều 43 Nghị định số 156/2020/NĐ-CP được sửa đổi, bổ sung tại điểm a khoản 34 Điều 1 Nghị định số 128/2021/NĐ-CP ngày 30/12/2021 của Chính phủ sửa đổi, bổ sung một số điều của Nghị định số 156/2020/NĐ-CP (Nghị định số 128/2021/NĐ-CP) do không báo cáo đối với thông tin phải báo cáo theo quy định pháp luật (Công ty không báo cáo đối với thông tin phải báo cáo theo quy định pháp luật trên chuyên trang thông tin về trái phiếu doanh nghiệp của Sở Giao dịch Chứng khoán Hà Nội các tài liệu sau: Báo cáo Quý I/2021, Quý III/2021, Quý IV/2021, Báo cáo năm 2021, Quý I/2022 của tổ chức tư vấn hồ sơ chào bán trái phiếu; Báo cáo Quý I/2021, Quý II/2021, Quý III/2021, Quý IV/2021, Quý I/2022, Báo cáo năm 2021 của tổ chức cung cấp dịch vụ đấu thầu, bảo lãnh, đại lý phát hành trái phiếu; Báo cáo Quý III/2021 và báo cáo năm 2021 của tổ chức đăng ký, lưu ký trái phiếu; Công ty báo </w:t>
      </w:r>
      <w:r w:rsidRPr="00EE68EF">
        <w:rPr>
          <w:rFonts w:ascii="Times New Roman" w:eastAsia="Times New Roman" w:hAnsi="Times New Roman" w:cs="Times New Roman"/>
          <w:color w:val="000000" w:themeColor="text1"/>
          <w:sz w:val="28"/>
          <w:szCs w:val="28"/>
        </w:rPr>
        <w:lastRenderedPageBreak/>
        <w:t>cáo không đúng thời hạn theo quy định pháp luật trên chuyên trang thông tin về trái phiếu doanh nghiệp của Sở Giao dịch Chứng khoán Hà Nội các tài liệu sau: Báo cáo Quý II/2021, Quý II/2022 của tổ chức tư vấn hồ sơ chào bán trái phiếu; Báo cáo Quý II/2022 của tổ chức cung cấp dịch vụ đấu thầu, bảo lãnh, đại lý phát hành trái phiếu; Báo cáo Quý IV/2021, Quý I/2022 và Quý II/2022 của tổ chức đăng ký, lưu ký trái phiếu).</w:t>
      </w:r>
    </w:p>
    <w:p w14:paraId="054E2B4D"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Phạt tiền 125.000.000 đồng theo quy định tại điểm d khoản 3 Điều 8 Nghị định số 156/2020/NĐ-CP được sửa đổi, bổ sung tại điểm c khoản 7 Điều 1 Nghị định số 128/2021/NĐ-CP do không lưu giữ tài liệu về việc lựa chọn nhà đầu tư tham gia mua chứng khoán chào bán hoặc phát hành riêng lẻ (Các trái chủ mua trái phiếu APGH2124001 phát hành trong năm 2021 của Công ty là 29 nhà đầu tư cá nhân trong nước; tuy nhiên, Công ty không lưu giữ tài liệu về việc xác định nhà đầu tư chứng khoán chuyên nghiệp đối với các cá nhân này).</w:t>
      </w:r>
    </w:p>
    <w:p w14:paraId="22DFD3FC"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Phạt tiền 175.000.000 đồng theo quy định tại điểm b khoản 3 Điều 43 Nghị định số 156/2020/NĐ-CP được sửa đổi, bổ sung tại điểm b khoản 34 Điều 1 Nghị định số 128/2021/NĐ-CP do báo cáo có nội dung sai lệch (Công ty báo cáo không chính xác về tỷ lệ an toàn tài chính tại các thời điểm 31/01/2022, 28/02/2022, 31/3/2022, 30/4/2022, 31/5/2022 và 30/6/2022);</w:t>
      </w:r>
    </w:p>
    <w:p w14:paraId="7FD4280F"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pacing w:val="2"/>
          <w:sz w:val="28"/>
          <w:szCs w:val="28"/>
        </w:rPr>
        <w:t>Biện pháp khắc phục hậu quả: Buộc báo cáo thông tin chính xác theo quy định tại khoản 4 Điều 43 Nghị định số 156/2020/NĐ-CP được sửa đổi, bổ sung tại điểm c khoản 34 Điều 1 Nghị định số 128/2021/NĐ-CP.</w:t>
      </w:r>
    </w:p>
    <w:p w14:paraId="0911CC87"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Phạt tiền 175.000.000 đồng theo quy định tại điểm d khoản 5 Điều 26 Nghị định số 156/2020/NĐ-CP do vi phạm quy định về hạn chế cho vay (Trong thời kỳ kiểm tra, Công ty đã cho một số khách hàng vay tiền thông qua các Hợp đồng đặt mua cổ phiếu, Hợp đồng đặt mua trái phiếu).</w:t>
      </w:r>
    </w:p>
    <w:p w14:paraId="0ADFFAF0"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z w:val="28"/>
          <w:szCs w:val="28"/>
        </w:rPr>
        <w:t>- Phạt tiền 350.000.000 đồng theo quy định tại điểm b khoản 4 Điều 10 Nghị định số 156/2020/NĐ-CP được sửa đổi, bổ sung tại điểm a khoản 9 Điều 1 Nghị định số 128/2021/NĐ-CP do sử dụng số tiền thu được từ đợt chào bán chứng khoán ra công chúng không đúng với phương án đã được Đại hội đồng cổ đông thông qua (Ngày 13/01/2022, Công ty hoàn thành đợt chào bán 73.153.306 cổ phiếu ra công chúng, tăng vốn điều lệ từ 731.533.060.000 đồng lên 1.463.066.120.000 đồng; tuy nhiên, các khoản giải ngân số tiền thu được từ đợt chào bán của Công ty không đúng như mục đích nêu tại Nghị quyết Đại hội đồng cổ đông 01/2021/NQ-ĐHĐCĐBT-</w:t>
      </w:r>
      <w:r w:rsidRPr="00EE68EF">
        <w:rPr>
          <w:rFonts w:ascii="Times New Roman" w:eastAsia="Times New Roman" w:hAnsi="Times New Roman" w:cs="Times New Roman"/>
          <w:color w:val="000000" w:themeColor="text1"/>
          <w:sz w:val="28"/>
          <w:szCs w:val="28"/>
        </w:rPr>
        <w:lastRenderedPageBreak/>
        <w:t>APG ngày 6/10/2021 và Nghị quyết Hội đồng quản trị số 25/2021/NQ/HĐQT-APG ngày 11/10/2021 về việc thông qua phương án sử dụng vốn thu được từ đợt chào bán chứng khoán ra công chúng);</w:t>
      </w:r>
    </w:p>
    <w:p w14:paraId="4DAA7CE3" w14:textId="77777777" w:rsidR="007E4670" w:rsidRPr="00EE68EF" w:rsidRDefault="007E4670" w:rsidP="009959A8">
      <w:pPr>
        <w:spacing w:after="0" w:line="288" w:lineRule="auto"/>
        <w:ind w:firstLine="576"/>
        <w:jc w:val="both"/>
        <w:rPr>
          <w:rFonts w:ascii="Times New Roman" w:eastAsia="Times New Roman" w:hAnsi="Times New Roman" w:cs="Times New Roman"/>
          <w:color w:val="000000" w:themeColor="text1"/>
          <w:sz w:val="28"/>
          <w:szCs w:val="28"/>
        </w:rPr>
      </w:pPr>
      <w:r w:rsidRPr="00EE68EF">
        <w:rPr>
          <w:rFonts w:ascii="Times New Roman" w:eastAsia="Times New Roman" w:hAnsi="Times New Roman" w:cs="Times New Roman"/>
          <w:color w:val="000000" w:themeColor="text1"/>
          <w:spacing w:val="2"/>
          <w:sz w:val="28"/>
          <w:szCs w:val="28"/>
        </w:rPr>
        <w:t>Biện pháp khắc phục hậu quả:</w:t>
      </w:r>
      <w:r w:rsidRPr="00EE68EF">
        <w:rPr>
          <w:rFonts w:ascii="Times New Roman" w:eastAsia="Times New Roman" w:hAnsi="Times New Roman" w:cs="Times New Roman"/>
          <w:color w:val="000000" w:themeColor="text1"/>
          <w:sz w:val="28"/>
          <w:szCs w:val="28"/>
        </w:rPr>
        <w:t> </w:t>
      </w:r>
      <w:r w:rsidRPr="00EE68EF">
        <w:rPr>
          <w:rFonts w:ascii="Times New Roman" w:eastAsia="Times New Roman" w:hAnsi="Times New Roman" w:cs="Times New Roman"/>
          <w:color w:val="000000" w:themeColor="text1"/>
          <w:spacing w:val="2"/>
          <w:sz w:val="28"/>
          <w:szCs w:val="28"/>
        </w:rPr>
        <w:t>Buộc thông qua Đại hội đồng cổ đông gần nhất về việc thay đổi mục đích hoặc phương án sử dụng số tiền thu được từ đợt chào bán chứng khoán ra công chúng theo quy định tại Điểm b khoản 8 Điều 10 Nghị định số 156/2020/NĐ-CP.</w:t>
      </w:r>
    </w:p>
    <w:p w14:paraId="241A98CD" w14:textId="77777777" w:rsidR="001A1593" w:rsidRPr="00EE68EF" w:rsidRDefault="001A1593" w:rsidP="009959A8">
      <w:pPr>
        <w:pStyle w:val="NormalWeb"/>
        <w:shd w:val="clear" w:color="auto" w:fill="FFFFFF"/>
        <w:spacing w:before="0" w:beforeAutospacing="0" w:after="0" w:afterAutospacing="0" w:line="288" w:lineRule="auto"/>
        <w:ind w:firstLine="576"/>
        <w:jc w:val="both"/>
        <w:textAlignment w:val="baseline"/>
        <w:rPr>
          <w:color w:val="000000" w:themeColor="text1"/>
          <w:sz w:val="28"/>
          <w:szCs w:val="28"/>
        </w:rPr>
      </w:pPr>
    </w:p>
    <w:sectPr w:rsidR="001A1593" w:rsidRPr="00EE68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B56C" w14:textId="77777777" w:rsidR="000B557E" w:rsidRDefault="000B557E" w:rsidP="00887D79">
      <w:pPr>
        <w:spacing w:after="0" w:line="240" w:lineRule="auto"/>
      </w:pPr>
      <w:r>
        <w:separator/>
      </w:r>
    </w:p>
  </w:endnote>
  <w:endnote w:type="continuationSeparator" w:id="0">
    <w:p w14:paraId="4A8BD38F" w14:textId="77777777" w:rsidR="000B557E" w:rsidRDefault="000B557E" w:rsidP="00887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1076236"/>
      <w:docPartObj>
        <w:docPartGallery w:val="Page Numbers (Bottom of Page)"/>
        <w:docPartUnique/>
      </w:docPartObj>
    </w:sdtPr>
    <w:sdtEndPr>
      <w:rPr>
        <w:noProof/>
      </w:rPr>
    </w:sdtEndPr>
    <w:sdtContent>
      <w:p w14:paraId="15502ACF" w14:textId="38850DEF" w:rsidR="001E4AB9" w:rsidRDefault="001E4A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18A2B16" w14:textId="77777777" w:rsidR="001E4AB9" w:rsidRDefault="001E4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30A07" w14:textId="77777777" w:rsidR="000B557E" w:rsidRDefault="000B557E" w:rsidP="00887D79">
      <w:pPr>
        <w:spacing w:after="0" w:line="240" w:lineRule="auto"/>
      </w:pPr>
      <w:r>
        <w:separator/>
      </w:r>
    </w:p>
  </w:footnote>
  <w:footnote w:type="continuationSeparator" w:id="0">
    <w:p w14:paraId="1A817C5C" w14:textId="77777777" w:rsidR="000B557E" w:rsidRDefault="000B557E" w:rsidP="00887D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F1B1A"/>
    <w:multiLevelType w:val="multilevel"/>
    <w:tmpl w:val="F394F6EE"/>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1" w15:restartNumberingAfterBreak="0">
    <w:nsid w:val="066A3851"/>
    <w:multiLevelType w:val="multilevel"/>
    <w:tmpl w:val="58D68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D0803"/>
    <w:multiLevelType w:val="multilevel"/>
    <w:tmpl w:val="294A59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7FD1C60"/>
    <w:multiLevelType w:val="multilevel"/>
    <w:tmpl w:val="CD3050A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lowerRoman"/>
      <w:lvlText w:val="%3."/>
      <w:lvlJc w:val="left"/>
      <w:pPr>
        <w:ind w:left="2520" w:hanging="72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1174D"/>
    <w:multiLevelType w:val="multilevel"/>
    <w:tmpl w:val="50DE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32D29"/>
    <w:multiLevelType w:val="multilevel"/>
    <w:tmpl w:val="67D81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9B33AF"/>
    <w:multiLevelType w:val="multilevel"/>
    <w:tmpl w:val="006C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C493C"/>
    <w:multiLevelType w:val="multilevel"/>
    <w:tmpl w:val="9AE6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8903BF"/>
    <w:multiLevelType w:val="multilevel"/>
    <w:tmpl w:val="F1B0A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200A69"/>
    <w:multiLevelType w:val="multilevel"/>
    <w:tmpl w:val="06A07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8C5291"/>
    <w:multiLevelType w:val="multilevel"/>
    <w:tmpl w:val="A1DA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F700B2"/>
    <w:multiLevelType w:val="multilevel"/>
    <w:tmpl w:val="944E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9D2710"/>
    <w:multiLevelType w:val="multilevel"/>
    <w:tmpl w:val="9760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756B03"/>
    <w:multiLevelType w:val="multilevel"/>
    <w:tmpl w:val="32181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876178"/>
    <w:multiLevelType w:val="multilevel"/>
    <w:tmpl w:val="045A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9A144D"/>
    <w:multiLevelType w:val="multilevel"/>
    <w:tmpl w:val="EA50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193ED1"/>
    <w:multiLevelType w:val="multilevel"/>
    <w:tmpl w:val="20DC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A3547B"/>
    <w:multiLevelType w:val="multilevel"/>
    <w:tmpl w:val="5758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5F5E1F"/>
    <w:multiLevelType w:val="multilevel"/>
    <w:tmpl w:val="42CE5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02441E"/>
    <w:multiLevelType w:val="multilevel"/>
    <w:tmpl w:val="FC76C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425CA6"/>
    <w:multiLevelType w:val="multilevel"/>
    <w:tmpl w:val="2040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FE5F02"/>
    <w:multiLevelType w:val="multilevel"/>
    <w:tmpl w:val="42287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A95967"/>
    <w:multiLevelType w:val="multilevel"/>
    <w:tmpl w:val="029A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A2958"/>
    <w:multiLevelType w:val="multilevel"/>
    <w:tmpl w:val="92880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D41A28"/>
    <w:multiLevelType w:val="multilevel"/>
    <w:tmpl w:val="62FC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4F7A42"/>
    <w:multiLevelType w:val="hybridMultilevel"/>
    <w:tmpl w:val="6ED431CA"/>
    <w:lvl w:ilvl="0" w:tplc="C2AE097E">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BC52582"/>
    <w:multiLevelType w:val="multilevel"/>
    <w:tmpl w:val="2A96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8316D0"/>
    <w:multiLevelType w:val="multilevel"/>
    <w:tmpl w:val="DAD6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A9255E"/>
    <w:multiLevelType w:val="multilevel"/>
    <w:tmpl w:val="86E8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B9100F"/>
    <w:multiLevelType w:val="multilevel"/>
    <w:tmpl w:val="7D30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564652"/>
    <w:multiLevelType w:val="multilevel"/>
    <w:tmpl w:val="FA7A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F200BF"/>
    <w:multiLevelType w:val="multilevel"/>
    <w:tmpl w:val="A266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962325"/>
    <w:multiLevelType w:val="multilevel"/>
    <w:tmpl w:val="E71A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84332"/>
    <w:multiLevelType w:val="multilevel"/>
    <w:tmpl w:val="0CC8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1C32BD"/>
    <w:multiLevelType w:val="multilevel"/>
    <w:tmpl w:val="75F0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4E1EF7"/>
    <w:multiLevelType w:val="multilevel"/>
    <w:tmpl w:val="2B0A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D90932"/>
    <w:multiLevelType w:val="multilevel"/>
    <w:tmpl w:val="E39E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F8271A"/>
    <w:multiLevelType w:val="multilevel"/>
    <w:tmpl w:val="801E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897271"/>
    <w:multiLevelType w:val="multilevel"/>
    <w:tmpl w:val="508C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F52A0E"/>
    <w:multiLevelType w:val="multilevel"/>
    <w:tmpl w:val="3B16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3B2B2C"/>
    <w:multiLevelType w:val="multilevel"/>
    <w:tmpl w:val="EC60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F629C8"/>
    <w:multiLevelType w:val="multilevel"/>
    <w:tmpl w:val="126AD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2211F1"/>
    <w:multiLevelType w:val="multilevel"/>
    <w:tmpl w:val="E694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1608F9"/>
    <w:multiLevelType w:val="multilevel"/>
    <w:tmpl w:val="E4D0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3325EB"/>
    <w:multiLevelType w:val="multilevel"/>
    <w:tmpl w:val="839800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726BA9"/>
    <w:multiLevelType w:val="multilevel"/>
    <w:tmpl w:val="2098CC1E"/>
    <w:lvl w:ilvl="0">
      <w:start w:val="2"/>
      <w:numFmt w:val="decimal"/>
      <w:lvlText w:val="%1."/>
      <w:lvlJc w:val="left"/>
      <w:pPr>
        <w:ind w:left="450" w:hanging="450"/>
      </w:pPr>
      <w:rPr>
        <w:rFonts w:hint="default"/>
      </w:rPr>
    </w:lvl>
    <w:lvl w:ilvl="1">
      <w:start w:val="4"/>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46" w15:restartNumberingAfterBreak="0">
    <w:nsid w:val="74291A67"/>
    <w:multiLevelType w:val="multilevel"/>
    <w:tmpl w:val="1884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EC639C"/>
    <w:multiLevelType w:val="multilevel"/>
    <w:tmpl w:val="B7D629E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252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1F7944"/>
    <w:multiLevelType w:val="hybridMultilevel"/>
    <w:tmpl w:val="96DE7162"/>
    <w:lvl w:ilvl="0" w:tplc="3216ECC8">
      <w:start w:val="5"/>
      <w:numFmt w:val="decimal"/>
      <w:lvlText w:val="%1."/>
      <w:lvlJc w:val="left"/>
      <w:pPr>
        <w:ind w:left="1080" w:hanging="360"/>
      </w:pPr>
      <w:rPr>
        <w:rFonts w:eastAsiaTheme="minorHAnsi" w:hint="default"/>
        <w:i/>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5AA5EB4"/>
    <w:multiLevelType w:val="multilevel"/>
    <w:tmpl w:val="CC78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F331F3"/>
    <w:multiLevelType w:val="hybridMultilevel"/>
    <w:tmpl w:val="7270A5F0"/>
    <w:lvl w:ilvl="0" w:tplc="8794A8B4">
      <w:start w:val="3"/>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C2C7053"/>
    <w:multiLevelType w:val="hybridMultilevel"/>
    <w:tmpl w:val="DEA27B72"/>
    <w:lvl w:ilvl="0" w:tplc="AA82C09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D3D579D"/>
    <w:multiLevelType w:val="multilevel"/>
    <w:tmpl w:val="BCEA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810F1B"/>
    <w:multiLevelType w:val="multilevel"/>
    <w:tmpl w:val="727A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6D6AEC"/>
    <w:multiLevelType w:val="multilevel"/>
    <w:tmpl w:val="4A6C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58218E"/>
    <w:multiLevelType w:val="multilevel"/>
    <w:tmpl w:val="D570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2"/>
  </w:num>
  <w:num w:numId="3">
    <w:abstractNumId w:val="1"/>
  </w:num>
  <w:num w:numId="4">
    <w:abstractNumId w:val="8"/>
  </w:num>
  <w:num w:numId="5">
    <w:abstractNumId w:val="52"/>
  </w:num>
  <w:num w:numId="6">
    <w:abstractNumId w:val="36"/>
  </w:num>
  <w:num w:numId="7">
    <w:abstractNumId w:val="28"/>
  </w:num>
  <w:num w:numId="8">
    <w:abstractNumId w:val="54"/>
  </w:num>
  <w:num w:numId="9">
    <w:abstractNumId w:val="6"/>
  </w:num>
  <w:num w:numId="10">
    <w:abstractNumId w:val="37"/>
  </w:num>
  <w:num w:numId="11">
    <w:abstractNumId w:val="32"/>
  </w:num>
  <w:num w:numId="12">
    <w:abstractNumId w:val="30"/>
  </w:num>
  <w:num w:numId="13">
    <w:abstractNumId w:val="11"/>
  </w:num>
  <w:num w:numId="14">
    <w:abstractNumId w:val="34"/>
  </w:num>
  <w:num w:numId="15">
    <w:abstractNumId w:val="15"/>
  </w:num>
  <w:num w:numId="16">
    <w:abstractNumId w:val="46"/>
  </w:num>
  <w:num w:numId="17">
    <w:abstractNumId w:val="43"/>
  </w:num>
  <w:num w:numId="18">
    <w:abstractNumId w:val="33"/>
  </w:num>
  <w:num w:numId="19">
    <w:abstractNumId w:val="9"/>
  </w:num>
  <w:num w:numId="20">
    <w:abstractNumId w:val="26"/>
  </w:num>
  <w:num w:numId="21">
    <w:abstractNumId w:val="7"/>
  </w:num>
  <w:num w:numId="22">
    <w:abstractNumId w:val="14"/>
  </w:num>
  <w:num w:numId="23">
    <w:abstractNumId w:val="41"/>
  </w:num>
  <w:num w:numId="24">
    <w:abstractNumId w:val="38"/>
  </w:num>
  <w:num w:numId="25">
    <w:abstractNumId w:val="20"/>
  </w:num>
  <w:num w:numId="26">
    <w:abstractNumId w:val="19"/>
  </w:num>
  <w:num w:numId="27">
    <w:abstractNumId w:val="16"/>
  </w:num>
  <w:num w:numId="28">
    <w:abstractNumId w:val="12"/>
  </w:num>
  <w:num w:numId="29">
    <w:abstractNumId w:val="23"/>
  </w:num>
  <w:num w:numId="30">
    <w:abstractNumId w:val="49"/>
  </w:num>
  <w:num w:numId="31">
    <w:abstractNumId w:val="35"/>
  </w:num>
  <w:num w:numId="32">
    <w:abstractNumId w:val="55"/>
  </w:num>
  <w:num w:numId="33">
    <w:abstractNumId w:val="5"/>
  </w:num>
  <w:num w:numId="34">
    <w:abstractNumId w:val="53"/>
  </w:num>
  <w:num w:numId="35">
    <w:abstractNumId w:val="21"/>
  </w:num>
  <w:num w:numId="36">
    <w:abstractNumId w:val="4"/>
  </w:num>
  <w:num w:numId="37">
    <w:abstractNumId w:val="31"/>
  </w:num>
  <w:num w:numId="38">
    <w:abstractNumId w:val="27"/>
  </w:num>
  <w:num w:numId="39">
    <w:abstractNumId w:val="10"/>
  </w:num>
  <w:num w:numId="40">
    <w:abstractNumId w:val="18"/>
  </w:num>
  <w:num w:numId="41">
    <w:abstractNumId w:val="40"/>
  </w:num>
  <w:num w:numId="42">
    <w:abstractNumId w:val="24"/>
  </w:num>
  <w:num w:numId="43">
    <w:abstractNumId w:val="3"/>
  </w:num>
  <w:num w:numId="44">
    <w:abstractNumId w:val="47"/>
  </w:num>
  <w:num w:numId="45">
    <w:abstractNumId w:val="17"/>
  </w:num>
  <w:num w:numId="46">
    <w:abstractNumId w:val="44"/>
  </w:num>
  <w:num w:numId="47">
    <w:abstractNumId w:val="13"/>
  </w:num>
  <w:num w:numId="48">
    <w:abstractNumId w:val="0"/>
  </w:num>
  <w:num w:numId="49">
    <w:abstractNumId w:val="42"/>
  </w:num>
  <w:num w:numId="50">
    <w:abstractNumId w:val="39"/>
  </w:num>
  <w:num w:numId="51">
    <w:abstractNumId w:val="29"/>
  </w:num>
  <w:num w:numId="52">
    <w:abstractNumId w:val="50"/>
  </w:num>
  <w:num w:numId="53">
    <w:abstractNumId w:val="45"/>
  </w:num>
  <w:num w:numId="54">
    <w:abstractNumId w:val="25"/>
  </w:num>
  <w:num w:numId="55">
    <w:abstractNumId w:val="51"/>
  </w:num>
  <w:num w:numId="56">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DBA"/>
    <w:rsid w:val="00004E41"/>
    <w:rsid w:val="00015BD8"/>
    <w:rsid w:val="00021A86"/>
    <w:rsid w:val="0002626B"/>
    <w:rsid w:val="0004008C"/>
    <w:rsid w:val="00041804"/>
    <w:rsid w:val="00043426"/>
    <w:rsid w:val="00064DD3"/>
    <w:rsid w:val="00066363"/>
    <w:rsid w:val="000930A0"/>
    <w:rsid w:val="000A7A09"/>
    <w:rsid w:val="000B557E"/>
    <w:rsid w:val="000B5E59"/>
    <w:rsid w:val="000C1C46"/>
    <w:rsid w:val="000F249D"/>
    <w:rsid w:val="00100D1C"/>
    <w:rsid w:val="0011199C"/>
    <w:rsid w:val="001217D8"/>
    <w:rsid w:val="00122AD4"/>
    <w:rsid w:val="00143BAA"/>
    <w:rsid w:val="00161653"/>
    <w:rsid w:val="00164C01"/>
    <w:rsid w:val="00167694"/>
    <w:rsid w:val="00167B45"/>
    <w:rsid w:val="00171353"/>
    <w:rsid w:val="00176E97"/>
    <w:rsid w:val="00197B66"/>
    <w:rsid w:val="001A1593"/>
    <w:rsid w:val="001D1B6F"/>
    <w:rsid w:val="001E4AB9"/>
    <w:rsid w:val="001E6ACF"/>
    <w:rsid w:val="00226B17"/>
    <w:rsid w:val="00260A3E"/>
    <w:rsid w:val="002D3183"/>
    <w:rsid w:val="002F3AED"/>
    <w:rsid w:val="002F68E8"/>
    <w:rsid w:val="003202B1"/>
    <w:rsid w:val="00322BCC"/>
    <w:rsid w:val="00337463"/>
    <w:rsid w:val="003A3FFB"/>
    <w:rsid w:val="003C0E26"/>
    <w:rsid w:val="003C0F08"/>
    <w:rsid w:val="003F6913"/>
    <w:rsid w:val="00401E3C"/>
    <w:rsid w:val="00412FE5"/>
    <w:rsid w:val="00413F21"/>
    <w:rsid w:val="004441F9"/>
    <w:rsid w:val="00477EF4"/>
    <w:rsid w:val="0049228D"/>
    <w:rsid w:val="004A34DD"/>
    <w:rsid w:val="004C7B58"/>
    <w:rsid w:val="004D627E"/>
    <w:rsid w:val="004F30B3"/>
    <w:rsid w:val="00520FFF"/>
    <w:rsid w:val="00522776"/>
    <w:rsid w:val="00524593"/>
    <w:rsid w:val="0052513C"/>
    <w:rsid w:val="005708D0"/>
    <w:rsid w:val="005745C6"/>
    <w:rsid w:val="00586FA7"/>
    <w:rsid w:val="005A1055"/>
    <w:rsid w:val="005C7311"/>
    <w:rsid w:val="005D42CA"/>
    <w:rsid w:val="005D573D"/>
    <w:rsid w:val="00602140"/>
    <w:rsid w:val="006209C6"/>
    <w:rsid w:val="00624427"/>
    <w:rsid w:val="006278D9"/>
    <w:rsid w:val="0064552F"/>
    <w:rsid w:val="0065433F"/>
    <w:rsid w:val="00657636"/>
    <w:rsid w:val="0067223A"/>
    <w:rsid w:val="00686D42"/>
    <w:rsid w:val="0068794E"/>
    <w:rsid w:val="006B7B48"/>
    <w:rsid w:val="006E3A71"/>
    <w:rsid w:val="00712807"/>
    <w:rsid w:val="00714A50"/>
    <w:rsid w:val="00724C0F"/>
    <w:rsid w:val="00732013"/>
    <w:rsid w:val="007439F9"/>
    <w:rsid w:val="0074620D"/>
    <w:rsid w:val="007468F0"/>
    <w:rsid w:val="00783588"/>
    <w:rsid w:val="00797C54"/>
    <w:rsid w:val="007C3169"/>
    <w:rsid w:val="007D724F"/>
    <w:rsid w:val="007E178B"/>
    <w:rsid w:val="007E4670"/>
    <w:rsid w:val="007F0212"/>
    <w:rsid w:val="007F6ADF"/>
    <w:rsid w:val="008014C3"/>
    <w:rsid w:val="008014F7"/>
    <w:rsid w:val="00805CD3"/>
    <w:rsid w:val="008107E0"/>
    <w:rsid w:val="00814CFE"/>
    <w:rsid w:val="00860487"/>
    <w:rsid w:val="00884DDB"/>
    <w:rsid w:val="00887D79"/>
    <w:rsid w:val="008B0263"/>
    <w:rsid w:val="008B32F4"/>
    <w:rsid w:val="008E3550"/>
    <w:rsid w:val="008F2D49"/>
    <w:rsid w:val="00910818"/>
    <w:rsid w:val="00991967"/>
    <w:rsid w:val="009959A8"/>
    <w:rsid w:val="009D2B1D"/>
    <w:rsid w:val="009F7B26"/>
    <w:rsid w:val="00A07DBA"/>
    <w:rsid w:val="00A1158B"/>
    <w:rsid w:val="00A140CA"/>
    <w:rsid w:val="00A14F83"/>
    <w:rsid w:val="00A72095"/>
    <w:rsid w:val="00A84FCF"/>
    <w:rsid w:val="00A85644"/>
    <w:rsid w:val="00A928B4"/>
    <w:rsid w:val="00AB0483"/>
    <w:rsid w:val="00AC1E2D"/>
    <w:rsid w:val="00AC2710"/>
    <w:rsid w:val="00AE4CD4"/>
    <w:rsid w:val="00B314C3"/>
    <w:rsid w:val="00B72559"/>
    <w:rsid w:val="00B77087"/>
    <w:rsid w:val="00B84600"/>
    <w:rsid w:val="00B976BD"/>
    <w:rsid w:val="00BA15EB"/>
    <w:rsid w:val="00BA3B11"/>
    <w:rsid w:val="00BA7031"/>
    <w:rsid w:val="00BC5CCB"/>
    <w:rsid w:val="00BD22B3"/>
    <w:rsid w:val="00BD67B1"/>
    <w:rsid w:val="00BE13F0"/>
    <w:rsid w:val="00BE3469"/>
    <w:rsid w:val="00BE63A8"/>
    <w:rsid w:val="00C226E1"/>
    <w:rsid w:val="00C3385D"/>
    <w:rsid w:val="00C70669"/>
    <w:rsid w:val="00C83A0B"/>
    <w:rsid w:val="00C93C75"/>
    <w:rsid w:val="00C9708B"/>
    <w:rsid w:val="00CA5DC3"/>
    <w:rsid w:val="00CA7C0F"/>
    <w:rsid w:val="00CC2D14"/>
    <w:rsid w:val="00CC3843"/>
    <w:rsid w:val="00CC3BE3"/>
    <w:rsid w:val="00CC4671"/>
    <w:rsid w:val="00CD69A3"/>
    <w:rsid w:val="00CF7444"/>
    <w:rsid w:val="00D0155B"/>
    <w:rsid w:val="00D2286E"/>
    <w:rsid w:val="00D4792C"/>
    <w:rsid w:val="00D50CE0"/>
    <w:rsid w:val="00D603FC"/>
    <w:rsid w:val="00D6736B"/>
    <w:rsid w:val="00DB03D9"/>
    <w:rsid w:val="00DB4845"/>
    <w:rsid w:val="00DB77E5"/>
    <w:rsid w:val="00DC3078"/>
    <w:rsid w:val="00DC695D"/>
    <w:rsid w:val="00DD08FC"/>
    <w:rsid w:val="00DE74BE"/>
    <w:rsid w:val="00E00424"/>
    <w:rsid w:val="00E2562E"/>
    <w:rsid w:val="00E67218"/>
    <w:rsid w:val="00EA3E76"/>
    <w:rsid w:val="00EB4559"/>
    <w:rsid w:val="00EE5CFC"/>
    <w:rsid w:val="00EE68EF"/>
    <w:rsid w:val="00F004FF"/>
    <w:rsid w:val="00F00D42"/>
    <w:rsid w:val="00F060EB"/>
    <w:rsid w:val="00F55A27"/>
    <w:rsid w:val="00F66CD9"/>
    <w:rsid w:val="00F94578"/>
    <w:rsid w:val="00F9499C"/>
    <w:rsid w:val="00FB2AE2"/>
    <w:rsid w:val="00FE7415"/>
    <w:rsid w:val="00FF4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F91E"/>
  <w15:chartTrackingRefBased/>
  <w15:docId w15:val="{5FB9F9BE-FCA2-4A48-BBDC-EE7803CE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4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20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E74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74B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593"/>
    <w:pPr>
      <w:ind w:left="720"/>
      <w:contextualSpacing/>
    </w:pPr>
  </w:style>
  <w:style w:type="paragraph" w:styleId="NormalWeb">
    <w:name w:val="Normal (Web)"/>
    <w:basedOn w:val="Normal"/>
    <w:uiPriority w:val="99"/>
    <w:unhideWhenUsed/>
    <w:rsid w:val="001A15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A1593"/>
    <w:rPr>
      <w:b/>
      <w:bCs/>
    </w:rPr>
  </w:style>
  <w:style w:type="character" w:styleId="Emphasis">
    <w:name w:val="Emphasis"/>
    <w:basedOn w:val="DefaultParagraphFont"/>
    <w:uiPriority w:val="20"/>
    <w:qFormat/>
    <w:rsid w:val="001A1593"/>
    <w:rPr>
      <w:i/>
      <w:iCs/>
    </w:rPr>
  </w:style>
  <w:style w:type="character" w:customStyle="1" w:styleId="Heading2Char">
    <w:name w:val="Heading 2 Char"/>
    <w:basedOn w:val="DefaultParagraphFont"/>
    <w:link w:val="Heading2"/>
    <w:uiPriority w:val="9"/>
    <w:semiHidden/>
    <w:rsid w:val="00A72095"/>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DE74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74B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E74BE"/>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887D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D79"/>
  </w:style>
  <w:style w:type="paragraph" w:styleId="Footer">
    <w:name w:val="footer"/>
    <w:basedOn w:val="Normal"/>
    <w:link w:val="FooterChar"/>
    <w:uiPriority w:val="99"/>
    <w:unhideWhenUsed/>
    <w:rsid w:val="00887D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D79"/>
  </w:style>
  <w:style w:type="table" w:styleId="TableGrid">
    <w:name w:val="Table Grid"/>
    <w:basedOn w:val="TableNormal"/>
    <w:uiPriority w:val="59"/>
    <w:rsid w:val="00887D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244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827">
      <w:bodyDiv w:val="1"/>
      <w:marLeft w:val="0"/>
      <w:marRight w:val="0"/>
      <w:marTop w:val="0"/>
      <w:marBottom w:val="0"/>
      <w:divBdr>
        <w:top w:val="none" w:sz="0" w:space="0" w:color="auto"/>
        <w:left w:val="none" w:sz="0" w:space="0" w:color="auto"/>
        <w:bottom w:val="none" w:sz="0" w:space="0" w:color="auto"/>
        <w:right w:val="none" w:sz="0" w:space="0" w:color="auto"/>
      </w:divBdr>
    </w:div>
    <w:div w:id="6175632">
      <w:bodyDiv w:val="1"/>
      <w:marLeft w:val="0"/>
      <w:marRight w:val="0"/>
      <w:marTop w:val="0"/>
      <w:marBottom w:val="0"/>
      <w:divBdr>
        <w:top w:val="none" w:sz="0" w:space="0" w:color="auto"/>
        <w:left w:val="none" w:sz="0" w:space="0" w:color="auto"/>
        <w:bottom w:val="none" w:sz="0" w:space="0" w:color="auto"/>
        <w:right w:val="none" w:sz="0" w:space="0" w:color="auto"/>
      </w:divBdr>
      <w:divsChild>
        <w:div w:id="91632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76483">
      <w:bodyDiv w:val="1"/>
      <w:marLeft w:val="0"/>
      <w:marRight w:val="0"/>
      <w:marTop w:val="0"/>
      <w:marBottom w:val="0"/>
      <w:divBdr>
        <w:top w:val="none" w:sz="0" w:space="0" w:color="auto"/>
        <w:left w:val="none" w:sz="0" w:space="0" w:color="auto"/>
        <w:bottom w:val="none" w:sz="0" w:space="0" w:color="auto"/>
        <w:right w:val="none" w:sz="0" w:space="0" w:color="auto"/>
      </w:divBdr>
      <w:divsChild>
        <w:div w:id="770079361">
          <w:marLeft w:val="0"/>
          <w:marRight w:val="0"/>
          <w:marTop w:val="0"/>
          <w:marBottom w:val="120"/>
          <w:divBdr>
            <w:top w:val="none" w:sz="0" w:space="0" w:color="auto"/>
            <w:left w:val="none" w:sz="0" w:space="0" w:color="auto"/>
            <w:bottom w:val="none" w:sz="0" w:space="0" w:color="auto"/>
            <w:right w:val="none" w:sz="0" w:space="0" w:color="auto"/>
          </w:divBdr>
        </w:div>
        <w:div w:id="1264073995">
          <w:marLeft w:val="0"/>
          <w:marRight w:val="0"/>
          <w:marTop w:val="100"/>
          <w:marBottom w:val="100"/>
          <w:divBdr>
            <w:top w:val="none" w:sz="0" w:space="0" w:color="auto"/>
            <w:left w:val="none" w:sz="0" w:space="0" w:color="auto"/>
            <w:bottom w:val="none" w:sz="0" w:space="0" w:color="auto"/>
            <w:right w:val="none" w:sz="0" w:space="0" w:color="auto"/>
          </w:divBdr>
          <w:divsChild>
            <w:div w:id="1084494846">
              <w:marLeft w:val="0"/>
              <w:marRight w:val="0"/>
              <w:marTop w:val="0"/>
              <w:marBottom w:val="0"/>
              <w:divBdr>
                <w:top w:val="none" w:sz="0" w:space="0" w:color="auto"/>
                <w:left w:val="none" w:sz="0" w:space="0" w:color="auto"/>
                <w:bottom w:val="none" w:sz="0" w:space="0" w:color="auto"/>
                <w:right w:val="none" w:sz="0" w:space="0" w:color="auto"/>
              </w:divBdr>
            </w:div>
          </w:divsChild>
        </w:div>
        <w:div w:id="417795741">
          <w:marLeft w:val="0"/>
          <w:marRight w:val="0"/>
          <w:marTop w:val="0"/>
          <w:marBottom w:val="0"/>
          <w:divBdr>
            <w:top w:val="none" w:sz="0" w:space="0" w:color="auto"/>
            <w:left w:val="none" w:sz="0" w:space="0" w:color="auto"/>
            <w:bottom w:val="none" w:sz="0" w:space="0" w:color="auto"/>
            <w:right w:val="none" w:sz="0" w:space="0" w:color="auto"/>
          </w:divBdr>
        </w:div>
        <w:div w:id="59912305">
          <w:blockQuote w:val="1"/>
          <w:marLeft w:val="720"/>
          <w:marRight w:val="720"/>
          <w:marTop w:val="100"/>
          <w:marBottom w:val="100"/>
          <w:divBdr>
            <w:top w:val="none" w:sz="0" w:space="0" w:color="auto"/>
            <w:left w:val="none" w:sz="0" w:space="30" w:color="auto"/>
            <w:bottom w:val="none" w:sz="0" w:space="0" w:color="auto"/>
            <w:right w:val="none" w:sz="0" w:space="0" w:color="auto"/>
          </w:divBdr>
        </w:div>
      </w:divsChild>
    </w:div>
    <w:div w:id="125855939">
      <w:bodyDiv w:val="1"/>
      <w:marLeft w:val="0"/>
      <w:marRight w:val="0"/>
      <w:marTop w:val="0"/>
      <w:marBottom w:val="0"/>
      <w:divBdr>
        <w:top w:val="none" w:sz="0" w:space="0" w:color="auto"/>
        <w:left w:val="none" w:sz="0" w:space="0" w:color="auto"/>
        <w:bottom w:val="none" w:sz="0" w:space="0" w:color="auto"/>
        <w:right w:val="none" w:sz="0" w:space="0" w:color="auto"/>
      </w:divBdr>
    </w:div>
    <w:div w:id="207376875">
      <w:bodyDiv w:val="1"/>
      <w:marLeft w:val="0"/>
      <w:marRight w:val="0"/>
      <w:marTop w:val="0"/>
      <w:marBottom w:val="0"/>
      <w:divBdr>
        <w:top w:val="none" w:sz="0" w:space="0" w:color="auto"/>
        <w:left w:val="none" w:sz="0" w:space="0" w:color="auto"/>
        <w:bottom w:val="none" w:sz="0" w:space="0" w:color="auto"/>
        <w:right w:val="none" w:sz="0" w:space="0" w:color="auto"/>
      </w:divBdr>
      <w:divsChild>
        <w:div w:id="1320117566">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 w:id="378551410">
          <w:marLeft w:val="0"/>
          <w:marRight w:val="0"/>
          <w:marTop w:val="0"/>
          <w:marBottom w:val="0"/>
          <w:divBdr>
            <w:top w:val="none" w:sz="0" w:space="0" w:color="auto"/>
            <w:left w:val="none" w:sz="0" w:space="0" w:color="auto"/>
            <w:bottom w:val="none" w:sz="0" w:space="0" w:color="auto"/>
            <w:right w:val="none" w:sz="0" w:space="0" w:color="auto"/>
          </w:divBdr>
          <w:divsChild>
            <w:div w:id="31078461">
              <w:marLeft w:val="0"/>
              <w:marRight w:val="0"/>
              <w:marTop w:val="0"/>
              <w:marBottom w:val="0"/>
              <w:divBdr>
                <w:top w:val="none" w:sz="0" w:space="0" w:color="auto"/>
                <w:left w:val="none" w:sz="0" w:space="0" w:color="auto"/>
                <w:bottom w:val="none" w:sz="0" w:space="0" w:color="auto"/>
                <w:right w:val="none" w:sz="0" w:space="0" w:color="auto"/>
              </w:divBdr>
              <w:divsChild>
                <w:div w:id="804929927">
                  <w:marLeft w:val="0"/>
                  <w:marRight w:val="0"/>
                  <w:marTop w:val="0"/>
                  <w:marBottom w:val="0"/>
                  <w:divBdr>
                    <w:top w:val="none" w:sz="0" w:space="0" w:color="auto"/>
                    <w:left w:val="none" w:sz="0" w:space="0" w:color="auto"/>
                    <w:bottom w:val="none" w:sz="0" w:space="0" w:color="auto"/>
                    <w:right w:val="none" w:sz="0" w:space="0" w:color="auto"/>
                  </w:divBdr>
                  <w:divsChild>
                    <w:div w:id="1727680382">
                      <w:marLeft w:val="0"/>
                      <w:marRight w:val="0"/>
                      <w:marTop w:val="0"/>
                      <w:marBottom w:val="0"/>
                      <w:divBdr>
                        <w:top w:val="none" w:sz="0" w:space="0" w:color="auto"/>
                        <w:left w:val="none" w:sz="0" w:space="0" w:color="auto"/>
                        <w:bottom w:val="none" w:sz="0" w:space="0" w:color="auto"/>
                        <w:right w:val="none" w:sz="0" w:space="0" w:color="auto"/>
                      </w:divBdr>
                      <w:divsChild>
                        <w:div w:id="1318613263">
                          <w:marLeft w:val="0"/>
                          <w:marRight w:val="0"/>
                          <w:marTop w:val="0"/>
                          <w:marBottom w:val="0"/>
                          <w:divBdr>
                            <w:top w:val="none" w:sz="0" w:space="0" w:color="auto"/>
                            <w:left w:val="none" w:sz="0" w:space="0" w:color="auto"/>
                            <w:bottom w:val="none" w:sz="0" w:space="0" w:color="auto"/>
                            <w:right w:val="none" w:sz="0" w:space="0" w:color="auto"/>
                          </w:divBdr>
                          <w:divsChild>
                            <w:div w:id="522128719">
                              <w:marLeft w:val="0"/>
                              <w:marRight w:val="150"/>
                              <w:marTop w:val="0"/>
                              <w:marBottom w:val="0"/>
                              <w:divBdr>
                                <w:top w:val="none" w:sz="0" w:space="0" w:color="auto"/>
                                <w:left w:val="none" w:sz="0" w:space="0" w:color="auto"/>
                                <w:bottom w:val="none" w:sz="0" w:space="0" w:color="auto"/>
                                <w:right w:val="none" w:sz="0" w:space="0" w:color="auto"/>
                              </w:divBdr>
                            </w:div>
                            <w:div w:id="324675609">
                              <w:marLeft w:val="0"/>
                              <w:marRight w:val="150"/>
                              <w:marTop w:val="0"/>
                              <w:marBottom w:val="0"/>
                              <w:divBdr>
                                <w:top w:val="none" w:sz="0" w:space="0" w:color="auto"/>
                                <w:left w:val="none" w:sz="0" w:space="0" w:color="auto"/>
                                <w:bottom w:val="none" w:sz="0" w:space="0" w:color="auto"/>
                                <w:right w:val="none" w:sz="0" w:space="0" w:color="auto"/>
                              </w:divBdr>
                              <w:divsChild>
                                <w:div w:id="1309625914">
                                  <w:marLeft w:val="0"/>
                                  <w:marRight w:val="0"/>
                                  <w:marTop w:val="0"/>
                                  <w:marBottom w:val="0"/>
                                  <w:divBdr>
                                    <w:top w:val="none" w:sz="0" w:space="0" w:color="auto"/>
                                    <w:left w:val="none" w:sz="0" w:space="0" w:color="auto"/>
                                    <w:bottom w:val="none" w:sz="0" w:space="0" w:color="auto"/>
                                    <w:right w:val="none" w:sz="0" w:space="0" w:color="auto"/>
                                  </w:divBdr>
                                  <w:divsChild>
                                    <w:div w:id="543756135">
                                      <w:marLeft w:val="0"/>
                                      <w:marRight w:val="0"/>
                                      <w:marTop w:val="150"/>
                                      <w:marBottom w:val="150"/>
                                      <w:divBdr>
                                        <w:top w:val="none" w:sz="0" w:space="0" w:color="auto"/>
                                        <w:left w:val="none" w:sz="0" w:space="0" w:color="auto"/>
                                        <w:bottom w:val="none" w:sz="0" w:space="0" w:color="auto"/>
                                        <w:right w:val="none" w:sz="0" w:space="0" w:color="auto"/>
                                      </w:divBdr>
                                    </w:div>
                                    <w:div w:id="193339096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5176066">
      <w:bodyDiv w:val="1"/>
      <w:marLeft w:val="0"/>
      <w:marRight w:val="0"/>
      <w:marTop w:val="0"/>
      <w:marBottom w:val="0"/>
      <w:divBdr>
        <w:top w:val="none" w:sz="0" w:space="0" w:color="auto"/>
        <w:left w:val="none" w:sz="0" w:space="0" w:color="auto"/>
        <w:bottom w:val="none" w:sz="0" w:space="0" w:color="auto"/>
        <w:right w:val="none" w:sz="0" w:space="0" w:color="auto"/>
      </w:divBdr>
      <w:divsChild>
        <w:div w:id="1921789020">
          <w:marLeft w:val="0"/>
          <w:marRight w:val="0"/>
          <w:marTop w:val="0"/>
          <w:marBottom w:val="225"/>
          <w:divBdr>
            <w:top w:val="none" w:sz="0" w:space="0" w:color="auto"/>
            <w:left w:val="none" w:sz="0" w:space="0" w:color="auto"/>
            <w:bottom w:val="none" w:sz="0" w:space="0" w:color="auto"/>
            <w:right w:val="none" w:sz="0" w:space="0" w:color="auto"/>
          </w:divBdr>
          <w:divsChild>
            <w:div w:id="1449471883">
              <w:marLeft w:val="0"/>
              <w:marRight w:val="0"/>
              <w:marTop w:val="0"/>
              <w:marBottom w:val="0"/>
              <w:divBdr>
                <w:top w:val="none" w:sz="0" w:space="0" w:color="auto"/>
                <w:left w:val="none" w:sz="0" w:space="0" w:color="auto"/>
                <w:bottom w:val="none" w:sz="0" w:space="0" w:color="auto"/>
                <w:right w:val="none" w:sz="0" w:space="0" w:color="auto"/>
              </w:divBdr>
            </w:div>
          </w:divsChild>
        </w:div>
        <w:div w:id="1389571066">
          <w:marLeft w:val="0"/>
          <w:marRight w:val="0"/>
          <w:marTop w:val="0"/>
          <w:marBottom w:val="180"/>
          <w:divBdr>
            <w:top w:val="none" w:sz="0" w:space="0" w:color="auto"/>
            <w:left w:val="none" w:sz="0" w:space="0" w:color="auto"/>
            <w:bottom w:val="none" w:sz="0" w:space="0" w:color="auto"/>
            <w:right w:val="none" w:sz="0" w:space="0" w:color="auto"/>
          </w:divBdr>
          <w:divsChild>
            <w:div w:id="1724597223">
              <w:marLeft w:val="0"/>
              <w:marRight w:val="0"/>
              <w:marTop w:val="0"/>
              <w:marBottom w:val="0"/>
              <w:divBdr>
                <w:top w:val="none" w:sz="0" w:space="0" w:color="auto"/>
                <w:left w:val="none" w:sz="0" w:space="0" w:color="auto"/>
                <w:bottom w:val="none" w:sz="0" w:space="0" w:color="auto"/>
                <w:right w:val="none" w:sz="0" w:space="0" w:color="auto"/>
              </w:divBdr>
            </w:div>
            <w:div w:id="950743416">
              <w:marLeft w:val="0"/>
              <w:marRight w:val="0"/>
              <w:marTop w:val="0"/>
              <w:marBottom w:val="0"/>
              <w:divBdr>
                <w:top w:val="none" w:sz="0" w:space="0" w:color="auto"/>
                <w:left w:val="none" w:sz="0" w:space="0" w:color="auto"/>
                <w:bottom w:val="none" w:sz="0" w:space="0" w:color="auto"/>
                <w:right w:val="none" w:sz="0" w:space="0" w:color="auto"/>
              </w:divBdr>
              <w:divsChild>
                <w:div w:id="48230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056061">
          <w:marLeft w:val="0"/>
          <w:marRight w:val="0"/>
          <w:marTop w:val="0"/>
          <w:marBottom w:val="300"/>
          <w:divBdr>
            <w:top w:val="none" w:sz="0" w:space="0" w:color="auto"/>
            <w:left w:val="none" w:sz="0" w:space="0" w:color="auto"/>
            <w:bottom w:val="none" w:sz="0" w:space="0" w:color="auto"/>
            <w:right w:val="none" w:sz="0" w:space="0" w:color="auto"/>
          </w:divBdr>
          <w:divsChild>
            <w:div w:id="1787658151">
              <w:marLeft w:val="0"/>
              <w:marRight w:val="0"/>
              <w:marTop w:val="0"/>
              <w:marBottom w:val="0"/>
              <w:divBdr>
                <w:top w:val="none" w:sz="0" w:space="0" w:color="auto"/>
                <w:left w:val="none" w:sz="0" w:space="0" w:color="auto"/>
                <w:bottom w:val="none" w:sz="0" w:space="0" w:color="auto"/>
                <w:right w:val="none" w:sz="0" w:space="0" w:color="auto"/>
              </w:divBdr>
              <w:divsChild>
                <w:div w:id="8596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4441">
          <w:marLeft w:val="0"/>
          <w:marRight w:val="0"/>
          <w:marTop w:val="0"/>
          <w:marBottom w:val="0"/>
          <w:divBdr>
            <w:top w:val="none" w:sz="0" w:space="0" w:color="auto"/>
            <w:left w:val="none" w:sz="0" w:space="0" w:color="auto"/>
            <w:bottom w:val="none" w:sz="0" w:space="0" w:color="auto"/>
            <w:right w:val="none" w:sz="0" w:space="0" w:color="auto"/>
          </w:divBdr>
          <w:divsChild>
            <w:div w:id="1450277298">
              <w:marLeft w:val="0"/>
              <w:marRight w:val="0"/>
              <w:marTop w:val="0"/>
              <w:marBottom w:val="0"/>
              <w:divBdr>
                <w:top w:val="none" w:sz="0" w:space="0" w:color="auto"/>
                <w:left w:val="none" w:sz="0" w:space="0" w:color="auto"/>
                <w:bottom w:val="none" w:sz="0" w:space="0" w:color="auto"/>
                <w:right w:val="none" w:sz="0" w:space="0" w:color="auto"/>
              </w:divBdr>
              <w:divsChild>
                <w:div w:id="1058895106">
                  <w:marLeft w:val="0"/>
                  <w:marRight w:val="0"/>
                  <w:marTop w:val="0"/>
                  <w:marBottom w:val="0"/>
                  <w:divBdr>
                    <w:top w:val="none" w:sz="0" w:space="0" w:color="auto"/>
                    <w:left w:val="none" w:sz="0" w:space="0" w:color="auto"/>
                    <w:bottom w:val="none" w:sz="0" w:space="0" w:color="auto"/>
                    <w:right w:val="none" w:sz="0" w:space="0" w:color="auto"/>
                  </w:divBdr>
                </w:div>
                <w:div w:id="1507406380">
                  <w:marLeft w:val="0"/>
                  <w:marRight w:val="0"/>
                  <w:marTop w:val="0"/>
                  <w:marBottom w:val="0"/>
                  <w:divBdr>
                    <w:top w:val="none" w:sz="0" w:space="0" w:color="auto"/>
                    <w:left w:val="none" w:sz="0" w:space="0" w:color="auto"/>
                    <w:bottom w:val="none" w:sz="0" w:space="0" w:color="auto"/>
                    <w:right w:val="none" w:sz="0" w:space="0" w:color="auto"/>
                  </w:divBdr>
                  <w:divsChild>
                    <w:div w:id="10303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236858">
      <w:bodyDiv w:val="1"/>
      <w:marLeft w:val="0"/>
      <w:marRight w:val="0"/>
      <w:marTop w:val="0"/>
      <w:marBottom w:val="0"/>
      <w:divBdr>
        <w:top w:val="none" w:sz="0" w:space="0" w:color="auto"/>
        <w:left w:val="none" w:sz="0" w:space="0" w:color="auto"/>
        <w:bottom w:val="none" w:sz="0" w:space="0" w:color="auto"/>
        <w:right w:val="none" w:sz="0" w:space="0" w:color="auto"/>
      </w:divBdr>
      <w:divsChild>
        <w:div w:id="1107307337">
          <w:marLeft w:val="0"/>
          <w:marRight w:val="0"/>
          <w:marTop w:val="0"/>
          <w:marBottom w:val="150"/>
          <w:divBdr>
            <w:top w:val="none" w:sz="0" w:space="4" w:color="auto"/>
            <w:left w:val="none" w:sz="0" w:space="0" w:color="auto"/>
            <w:bottom w:val="single" w:sz="6" w:space="4" w:color="DDDDDD"/>
            <w:right w:val="none" w:sz="0" w:space="0" w:color="auto"/>
          </w:divBdr>
        </w:div>
        <w:div w:id="1300066551">
          <w:marLeft w:val="0"/>
          <w:marRight w:val="0"/>
          <w:marTop w:val="375"/>
          <w:marBottom w:val="0"/>
          <w:divBdr>
            <w:top w:val="none" w:sz="0" w:space="0" w:color="auto"/>
            <w:left w:val="none" w:sz="0" w:space="0" w:color="auto"/>
            <w:bottom w:val="none" w:sz="0" w:space="0" w:color="auto"/>
            <w:right w:val="none" w:sz="0" w:space="0" w:color="auto"/>
          </w:divBdr>
          <w:divsChild>
            <w:div w:id="288517405">
              <w:marLeft w:val="0"/>
              <w:marRight w:val="0"/>
              <w:marTop w:val="0"/>
              <w:marBottom w:val="0"/>
              <w:divBdr>
                <w:top w:val="none" w:sz="0" w:space="0" w:color="auto"/>
                <w:left w:val="none" w:sz="0" w:space="0" w:color="auto"/>
                <w:bottom w:val="none" w:sz="0" w:space="0" w:color="auto"/>
                <w:right w:val="none" w:sz="0" w:space="0" w:color="auto"/>
              </w:divBdr>
            </w:div>
            <w:div w:id="647704835">
              <w:marLeft w:val="0"/>
              <w:marRight w:val="0"/>
              <w:marTop w:val="0"/>
              <w:marBottom w:val="0"/>
              <w:divBdr>
                <w:top w:val="none" w:sz="0" w:space="0" w:color="auto"/>
                <w:left w:val="none" w:sz="0" w:space="0" w:color="auto"/>
                <w:bottom w:val="none" w:sz="0" w:space="0" w:color="auto"/>
                <w:right w:val="none" w:sz="0" w:space="0" w:color="auto"/>
              </w:divBdr>
            </w:div>
          </w:divsChild>
        </w:div>
        <w:div w:id="1825003224">
          <w:marLeft w:val="0"/>
          <w:marRight w:val="0"/>
          <w:marTop w:val="120"/>
          <w:marBottom w:val="120"/>
          <w:divBdr>
            <w:top w:val="single" w:sz="6" w:space="6" w:color="EEEEEE"/>
            <w:left w:val="single" w:sz="6" w:space="0" w:color="EEEEEE"/>
            <w:bottom w:val="single" w:sz="6" w:space="6" w:color="EEEEEE"/>
            <w:right w:val="single" w:sz="6" w:space="0" w:color="EEEEEE"/>
          </w:divBdr>
        </w:div>
        <w:div w:id="1179194333">
          <w:marLeft w:val="0"/>
          <w:marRight w:val="0"/>
          <w:marTop w:val="0"/>
          <w:marBottom w:val="0"/>
          <w:divBdr>
            <w:top w:val="none" w:sz="0" w:space="0" w:color="auto"/>
            <w:left w:val="none" w:sz="0" w:space="0" w:color="auto"/>
            <w:bottom w:val="none" w:sz="0" w:space="0" w:color="auto"/>
            <w:right w:val="none" w:sz="0" w:space="0" w:color="auto"/>
          </w:divBdr>
          <w:divsChild>
            <w:div w:id="1370913809">
              <w:marLeft w:val="0"/>
              <w:marRight w:val="0"/>
              <w:marTop w:val="0"/>
              <w:marBottom w:val="0"/>
              <w:divBdr>
                <w:top w:val="none" w:sz="0" w:space="0" w:color="auto"/>
                <w:left w:val="none" w:sz="0" w:space="0" w:color="auto"/>
                <w:bottom w:val="none" w:sz="0" w:space="0" w:color="auto"/>
                <w:right w:val="none" w:sz="0" w:space="0" w:color="auto"/>
              </w:divBdr>
              <w:divsChild>
                <w:div w:id="925110532">
                  <w:marLeft w:val="0"/>
                  <w:marRight w:val="0"/>
                  <w:marTop w:val="0"/>
                  <w:marBottom w:val="0"/>
                  <w:divBdr>
                    <w:top w:val="none" w:sz="0" w:space="0" w:color="auto"/>
                    <w:left w:val="none" w:sz="0" w:space="0" w:color="auto"/>
                    <w:bottom w:val="none" w:sz="0" w:space="0" w:color="auto"/>
                    <w:right w:val="none" w:sz="0" w:space="0" w:color="auto"/>
                  </w:divBdr>
                  <w:divsChild>
                    <w:div w:id="1169757260">
                      <w:marLeft w:val="0"/>
                      <w:marRight w:val="0"/>
                      <w:marTop w:val="0"/>
                      <w:marBottom w:val="0"/>
                      <w:divBdr>
                        <w:top w:val="none" w:sz="0" w:space="0" w:color="auto"/>
                        <w:left w:val="none" w:sz="0" w:space="0" w:color="auto"/>
                        <w:bottom w:val="none" w:sz="0" w:space="0" w:color="auto"/>
                        <w:right w:val="none" w:sz="0" w:space="0" w:color="auto"/>
                      </w:divBdr>
                      <w:divsChild>
                        <w:div w:id="804812593">
                          <w:marLeft w:val="0"/>
                          <w:marRight w:val="0"/>
                          <w:marTop w:val="0"/>
                          <w:marBottom w:val="0"/>
                          <w:divBdr>
                            <w:top w:val="none" w:sz="0" w:space="0" w:color="auto"/>
                            <w:left w:val="none" w:sz="0" w:space="0" w:color="auto"/>
                            <w:bottom w:val="none" w:sz="0" w:space="0" w:color="auto"/>
                            <w:right w:val="none" w:sz="0" w:space="0" w:color="auto"/>
                          </w:divBdr>
                        </w:div>
                        <w:div w:id="1206332384">
                          <w:marLeft w:val="0"/>
                          <w:marRight w:val="0"/>
                          <w:marTop w:val="0"/>
                          <w:marBottom w:val="0"/>
                          <w:divBdr>
                            <w:top w:val="none" w:sz="0" w:space="0" w:color="auto"/>
                            <w:left w:val="none" w:sz="0" w:space="0" w:color="auto"/>
                            <w:bottom w:val="none" w:sz="0" w:space="0" w:color="auto"/>
                            <w:right w:val="none" w:sz="0" w:space="0" w:color="auto"/>
                          </w:divBdr>
                          <w:divsChild>
                            <w:div w:id="1672486486">
                              <w:marLeft w:val="0"/>
                              <w:marRight w:val="0"/>
                              <w:marTop w:val="0"/>
                              <w:marBottom w:val="0"/>
                              <w:divBdr>
                                <w:top w:val="none" w:sz="0" w:space="0" w:color="auto"/>
                                <w:left w:val="none" w:sz="0" w:space="0" w:color="auto"/>
                                <w:bottom w:val="none" w:sz="0" w:space="0" w:color="auto"/>
                                <w:right w:val="none" w:sz="0" w:space="0" w:color="auto"/>
                              </w:divBdr>
                              <w:divsChild>
                                <w:div w:id="1935284780">
                                  <w:marLeft w:val="0"/>
                                  <w:marRight w:val="0"/>
                                  <w:marTop w:val="0"/>
                                  <w:marBottom w:val="0"/>
                                  <w:divBdr>
                                    <w:top w:val="none" w:sz="0" w:space="0" w:color="auto"/>
                                    <w:left w:val="none" w:sz="0" w:space="0" w:color="auto"/>
                                    <w:bottom w:val="none" w:sz="0" w:space="0" w:color="auto"/>
                                    <w:right w:val="none" w:sz="0" w:space="0" w:color="auto"/>
                                  </w:divBdr>
                                  <w:divsChild>
                                    <w:div w:id="971909589">
                                      <w:marLeft w:val="0"/>
                                      <w:marRight w:val="0"/>
                                      <w:marTop w:val="0"/>
                                      <w:marBottom w:val="0"/>
                                      <w:divBdr>
                                        <w:top w:val="none" w:sz="0" w:space="0" w:color="auto"/>
                                        <w:left w:val="none" w:sz="0" w:space="0" w:color="auto"/>
                                        <w:bottom w:val="none" w:sz="0" w:space="0" w:color="auto"/>
                                        <w:right w:val="none" w:sz="0" w:space="0" w:color="auto"/>
                                      </w:divBdr>
                                    </w:div>
                                  </w:divsChild>
                                </w:div>
                                <w:div w:id="135991967">
                                  <w:marLeft w:val="0"/>
                                  <w:marRight w:val="0"/>
                                  <w:marTop w:val="0"/>
                                  <w:marBottom w:val="0"/>
                                  <w:divBdr>
                                    <w:top w:val="none" w:sz="0" w:space="0" w:color="auto"/>
                                    <w:left w:val="none" w:sz="0" w:space="0" w:color="auto"/>
                                    <w:bottom w:val="none" w:sz="0" w:space="0" w:color="auto"/>
                                    <w:right w:val="none" w:sz="0" w:space="0" w:color="auto"/>
                                  </w:divBdr>
                                </w:div>
                                <w:div w:id="1650360198">
                                  <w:marLeft w:val="0"/>
                                  <w:marRight w:val="0"/>
                                  <w:marTop w:val="0"/>
                                  <w:marBottom w:val="0"/>
                                  <w:divBdr>
                                    <w:top w:val="none" w:sz="0" w:space="0" w:color="auto"/>
                                    <w:left w:val="none" w:sz="0" w:space="0" w:color="auto"/>
                                    <w:bottom w:val="none" w:sz="0" w:space="0" w:color="auto"/>
                                    <w:right w:val="none" w:sz="0" w:space="0" w:color="auto"/>
                                  </w:divBdr>
                                </w:div>
                                <w:div w:id="192067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8215">
      <w:bodyDiv w:val="1"/>
      <w:marLeft w:val="0"/>
      <w:marRight w:val="0"/>
      <w:marTop w:val="0"/>
      <w:marBottom w:val="0"/>
      <w:divBdr>
        <w:top w:val="none" w:sz="0" w:space="0" w:color="auto"/>
        <w:left w:val="none" w:sz="0" w:space="0" w:color="auto"/>
        <w:bottom w:val="none" w:sz="0" w:space="0" w:color="auto"/>
        <w:right w:val="none" w:sz="0" w:space="0" w:color="auto"/>
      </w:divBdr>
    </w:div>
    <w:div w:id="515459498">
      <w:bodyDiv w:val="1"/>
      <w:marLeft w:val="0"/>
      <w:marRight w:val="0"/>
      <w:marTop w:val="0"/>
      <w:marBottom w:val="0"/>
      <w:divBdr>
        <w:top w:val="none" w:sz="0" w:space="0" w:color="auto"/>
        <w:left w:val="none" w:sz="0" w:space="0" w:color="auto"/>
        <w:bottom w:val="none" w:sz="0" w:space="0" w:color="auto"/>
        <w:right w:val="none" w:sz="0" w:space="0" w:color="auto"/>
      </w:divBdr>
      <w:divsChild>
        <w:div w:id="1916432602">
          <w:marLeft w:val="0"/>
          <w:marRight w:val="0"/>
          <w:marTop w:val="0"/>
          <w:marBottom w:val="120"/>
          <w:divBdr>
            <w:top w:val="none" w:sz="0" w:space="0" w:color="auto"/>
            <w:left w:val="none" w:sz="0" w:space="0" w:color="auto"/>
            <w:bottom w:val="none" w:sz="0" w:space="0" w:color="auto"/>
            <w:right w:val="none" w:sz="0" w:space="0" w:color="auto"/>
          </w:divBdr>
        </w:div>
        <w:div w:id="1313565571">
          <w:marLeft w:val="0"/>
          <w:marRight w:val="0"/>
          <w:marTop w:val="100"/>
          <w:marBottom w:val="100"/>
          <w:divBdr>
            <w:top w:val="none" w:sz="0" w:space="0" w:color="auto"/>
            <w:left w:val="none" w:sz="0" w:space="0" w:color="auto"/>
            <w:bottom w:val="none" w:sz="0" w:space="0" w:color="auto"/>
            <w:right w:val="none" w:sz="0" w:space="0" w:color="auto"/>
          </w:divBdr>
          <w:divsChild>
            <w:div w:id="32960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036133">
      <w:bodyDiv w:val="1"/>
      <w:marLeft w:val="0"/>
      <w:marRight w:val="0"/>
      <w:marTop w:val="0"/>
      <w:marBottom w:val="0"/>
      <w:divBdr>
        <w:top w:val="none" w:sz="0" w:space="0" w:color="auto"/>
        <w:left w:val="none" w:sz="0" w:space="0" w:color="auto"/>
        <w:bottom w:val="none" w:sz="0" w:space="0" w:color="auto"/>
        <w:right w:val="none" w:sz="0" w:space="0" w:color="auto"/>
      </w:divBdr>
      <w:divsChild>
        <w:div w:id="875703484">
          <w:marLeft w:val="0"/>
          <w:marRight w:val="0"/>
          <w:marTop w:val="0"/>
          <w:marBottom w:val="0"/>
          <w:divBdr>
            <w:top w:val="none" w:sz="0" w:space="0" w:color="auto"/>
            <w:left w:val="none" w:sz="0" w:space="0" w:color="auto"/>
            <w:bottom w:val="none" w:sz="0" w:space="0" w:color="auto"/>
            <w:right w:val="none" w:sz="0" w:space="0" w:color="auto"/>
          </w:divBdr>
          <w:divsChild>
            <w:div w:id="211700566">
              <w:marLeft w:val="0"/>
              <w:marRight w:val="0"/>
              <w:marTop w:val="0"/>
              <w:marBottom w:val="0"/>
              <w:divBdr>
                <w:top w:val="none" w:sz="0" w:space="0" w:color="auto"/>
                <w:left w:val="none" w:sz="0" w:space="0" w:color="auto"/>
                <w:bottom w:val="none" w:sz="0" w:space="0" w:color="auto"/>
                <w:right w:val="none" w:sz="0" w:space="0" w:color="auto"/>
              </w:divBdr>
            </w:div>
          </w:divsChild>
        </w:div>
        <w:div w:id="628168690">
          <w:marLeft w:val="0"/>
          <w:marRight w:val="-5775"/>
          <w:marTop w:val="0"/>
          <w:marBottom w:val="0"/>
          <w:divBdr>
            <w:top w:val="none" w:sz="0" w:space="0" w:color="auto"/>
            <w:left w:val="none" w:sz="0" w:space="0" w:color="auto"/>
            <w:bottom w:val="none" w:sz="0" w:space="0" w:color="auto"/>
            <w:right w:val="none" w:sz="0" w:space="0" w:color="auto"/>
          </w:divBdr>
          <w:divsChild>
            <w:div w:id="1241057018">
              <w:marLeft w:val="0"/>
              <w:marRight w:val="0"/>
              <w:marTop w:val="0"/>
              <w:marBottom w:val="0"/>
              <w:divBdr>
                <w:top w:val="none" w:sz="0" w:space="0" w:color="auto"/>
                <w:left w:val="none" w:sz="0" w:space="0" w:color="auto"/>
                <w:bottom w:val="none" w:sz="0" w:space="0" w:color="auto"/>
                <w:right w:val="none" w:sz="0" w:space="0" w:color="auto"/>
              </w:divBdr>
              <w:divsChild>
                <w:div w:id="923731136">
                  <w:marLeft w:val="0"/>
                  <w:marRight w:val="0"/>
                  <w:marTop w:val="0"/>
                  <w:marBottom w:val="0"/>
                  <w:divBdr>
                    <w:top w:val="none" w:sz="0" w:space="0" w:color="auto"/>
                    <w:left w:val="none" w:sz="0" w:space="0" w:color="auto"/>
                    <w:bottom w:val="none" w:sz="0" w:space="0" w:color="auto"/>
                    <w:right w:val="none" w:sz="0" w:space="0" w:color="auto"/>
                  </w:divBdr>
                  <w:divsChild>
                    <w:div w:id="1274480588">
                      <w:marLeft w:val="0"/>
                      <w:marRight w:val="0"/>
                      <w:marTop w:val="0"/>
                      <w:marBottom w:val="0"/>
                      <w:divBdr>
                        <w:top w:val="none" w:sz="0" w:space="0" w:color="auto"/>
                        <w:left w:val="none" w:sz="0" w:space="0" w:color="auto"/>
                        <w:bottom w:val="none" w:sz="0" w:space="0" w:color="auto"/>
                        <w:right w:val="none" w:sz="0" w:space="0" w:color="auto"/>
                      </w:divBdr>
                      <w:divsChild>
                        <w:div w:id="771439383">
                          <w:marLeft w:val="0"/>
                          <w:marRight w:val="0"/>
                          <w:marTop w:val="0"/>
                          <w:marBottom w:val="0"/>
                          <w:divBdr>
                            <w:top w:val="single" w:sz="6" w:space="0" w:color="CBD2D9"/>
                            <w:left w:val="single" w:sz="6" w:space="0" w:color="CBD2D9"/>
                            <w:bottom w:val="single" w:sz="6" w:space="0" w:color="CBD2D9"/>
                            <w:right w:val="single" w:sz="6" w:space="0" w:color="CBD2D9"/>
                          </w:divBdr>
                        </w:div>
                        <w:div w:id="2000762772">
                          <w:marLeft w:val="0"/>
                          <w:marRight w:val="0"/>
                          <w:marTop w:val="0"/>
                          <w:marBottom w:val="150"/>
                          <w:divBdr>
                            <w:top w:val="none" w:sz="0" w:space="0" w:color="auto"/>
                            <w:left w:val="none" w:sz="0" w:space="0" w:color="auto"/>
                            <w:bottom w:val="single" w:sz="6" w:space="8" w:color="CCCCCC"/>
                            <w:right w:val="none" w:sz="0" w:space="0" w:color="auto"/>
                          </w:divBdr>
                          <w:divsChild>
                            <w:div w:id="842864309">
                              <w:marLeft w:val="0"/>
                              <w:marRight w:val="0"/>
                              <w:marTop w:val="0"/>
                              <w:marBottom w:val="0"/>
                              <w:divBdr>
                                <w:top w:val="none" w:sz="0" w:space="0" w:color="auto"/>
                                <w:left w:val="none" w:sz="0" w:space="0" w:color="auto"/>
                                <w:bottom w:val="none" w:sz="0" w:space="0" w:color="auto"/>
                                <w:right w:val="none" w:sz="0" w:space="0" w:color="auto"/>
                              </w:divBdr>
                              <w:divsChild>
                                <w:div w:id="1957901660">
                                  <w:marLeft w:val="0"/>
                                  <w:marRight w:val="150"/>
                                  <w:marTop w:val="0"/>
                                  <w:marBottom w:val="0"/>
                                  <w:divBdr>
                                    <w:top w:val="none" w:sz="0" w:space="0" w:color="auto"/>
                                    <w:left w:val="none" w:sz="0" w:space="0" w:color="auto"/>
                                    <w:bottom w:val="none" w:sz="0" w:space="0" w:color="auto"/>
                                    <w:right w:val="none" w:sz="0" w:space="0" w:color="auto"/>
                                  </w:divBdr>
                                </w:div>
                                <w:div w:id="653920842">
                                  <w:marLeft w:val="0"/>
                                  <w:marRight w:val="150"/>
                                  <w:marTop w:val="0"/>
                                  <w:marBottom w:val="0"/>
                                  <w:divBdr>
                                    <w:top w:val="none" w:sz="0" w:space="0" w:color="auto"/>
                                    <w:left w:val="none" w:sz="0" w:space="0" w:color="auto"/>
                                    <w:bottom w:val="none" w:sz="0" w:space="0" w:color="auto"/>
                                    <w:right w:val="none" w:sz="0" w:space="0" w:color="auto"/>
                                  </w:divBdr>
                                </w:div>
                                <w:div w:id="1771313620">
                                  <w:marLeft w:val="0"/>
                                  <w:marRight w:val="150"/>
                                  <w:marTop w:val="0"/>
                                  <w:marBottom w:val="0"/>
                                  <w:divBdr>
                                    <w:top w:val="none" w:sz="0" w:space="0" w:color="auto"/>
                                    <w:left w:val="none" w:sz="0" w:space="0" w:color="auto"/>
                                    <w:bottom w:val="none" w:sz="0" w:space="0" w:color="auto"/>
                                    <w:right w:val="none" w:sz="0" w:space="0" w:color="auto"/>
                                  </w:divBdr>
                                  <w:divsChild>
                                    <w:div w:id="1051805787">
                                      <w:marLeft w:val="0"/>
                                      <w:marRight w:val="0"/>
                                      <w:marTop w:val="0"/>
                                      <w:marBottom w:val="0"/>
                                      <w:divBdr>
                                        <w:top w:val="none" w:sz="0" w:space="0" w:color="auto"/>
                                        <w:left w:val="none" w:sz="0" w:space="0" w:color="auto"/>
                                        <w:bottom w:val="none" w:sz="0" w:space="0" w:color="auto"/>
                                        <w:right w:val="none" w:sz="0" w:space="0" w:color="auto"/>
                                      </w:divBdr>
                                    </w:div>
                                  </w:divsChild>
                                </w:div>
                                <w:div w:id="177020199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90662163">
                          <w:marLeft w:val="0"/>
                          <w:marRight w:val="0"/>
                          <w:marTop w:val="0"/>
                          <w:marBottom w:val="0"/>
                          <w:divBdr>
                            <w:top w:val="none" w:sz="0" w:space="0" w:color="auto"/>
                            <w:left w:val="none" w:sz="0" w:space="0" w:color="auto"/>
                            <w:bottom w:val="none" w:sz="0" w:space="0" w:color="auto"/>
                            <w:right w:val="none" w:sz="0" w:space="0" w:color="auto"/>
                          </w:divBdr>
                          <w:divsChild>
                            <w:div w:id="1937663981">
                              <w:marLeft w:val="0"/>
                              <w:marRight w:val="0"/>
                              <w:marTop w:val="0"/>
                              <w:marBottom w:val="0"/>
                              <w:divBdr>
                                <w:top w:val="none" w:sz="0" w:space="0" w:color="auto"/>
                                <w:left w:val="none" w:sz="0" w:space="0" w:color="auto"/>
                                <w:bottom w:val="none" w:sz="0" w:space="0" w:color="auto"/>
                                <w:right w:val="none" w:sz="0" w:space="0" w:color="auto"/>
                              </w:divBdr>
                              <w:divsChild>
                                <w:div w:id="475924163">
                                  <w:marLeft w:val="0"/>
                                  <w:marRight w:val="0"/>
                                  <w:marTop w:val="120"/>
                                  <w:marBottom w:val="120"/>
                                  <w:divBdr>
                                    <w:top w:val="single" w:sz="6" w:space="6" w:color="EEEEEE"/>
                                    <w:left w:val="single" w:sz="6" w:space="6" w:color="EEEEEE"/>
                                    <w:bottom w:val="single" w:sz="6" w:space="6" w:color="EEEEEE"/>
                                    <w:right w:val="single" w:sz="6" w:space="6" w:color="EEEEEE"/>
                                  </w:divBdr>
                                </w:div>
                              </w:divsChild>
                            </w:div>
                          </w:divsChild>
                        </w:div>
                      </w:divsChild>
                    </w:div>
                  </w:divsChild>
                </w:div>
              </w:divsChild>
            </w:div>
          </w:divsChild>
        </w:div>
      </w:divsChild>
    </w:div>
    <w:div w:id="601957355">
      <w:bodyDiv w:val="1"/>
      <w:marLeft w:val="0"/>
      <w:marRight w:val="0"/>
      <w:marTop w:val="0"/>
      <w:marBottom w:val="0"/>
      <w:divBdr>
        <w:top w:val="none" w:sz="0" w:space="0" w:color="auto"/>
        <w:left w:val="none" w:sz="0" w:space="0" w:color="auto"/>
        <w:bottom w:val="none" w:sz="0" w:space="0" w:color="auto"/>
        <w:right w:val="none" w:sz="0" w:space="0" w:color="auto"/>
      </w:divBdr>
      <w:divsChild>
        <w:div w:id="651255044">
          <w:marLeft w:val="0"/>
          <w:marRight w:val="0"/>
          <w:marTop w:val="480"/>
          <w:marBottom w:val="210"/>
          <w:divBdr>
            <w:top w:val="none" w:sz="0" w:space="0" w:color="auto"/>
            <w:left w:val="none" w:sz="0" w:space="0" w:color="auto"/>
            <w:bottom w:val="dashed" w:sz="2" w:space="4" w:color="BDBDBD"/>
            <w:right w:val="none" w:sz="0" w:space="0" w:color="auto"/>
          </w:divBdr>
          <w:divsChild>
            <w:div w:id="633831053">
              <w:marLeft w:val="0"/>
              <w:marRight w:val="0"/>
              <w:marTop w:val="0"/>
              <w:marBottom w:val="0"/>
              <w:divBdr>
                <w:top w:val="none" w:sz="0" w:space="0" w:color="auto"/>
                <w:left w:val="none" w:sz="0" w:space="0" w:color="auto"/>
                <w:bottom w:val="none" w:sz="0" w:space="0" w:color="auto"/>
                <w:right w:val="none" w:sz="0" w:space="0" w:color="auto"/>
              </w:divBdr>
            </w:div>
          </w:divsChild>
        </w:div>
        <w:div w:id="585109916">
          <w:marLeft w:val="0"/>
          <w:marRight w:val="0"/>
          <w:marTop w:val="0"/>
          <w:marBottom w:val="0"/>
          <w:divBdr>
            <w:top w:val="none" w:sz="0" w:space="0" w:color="auto"/>
            <w:left w:val="none" w:sz="0" w:space="0" w:color="auto"/>
            <w:bottom w:val="none" w:sz="0" w:space="0" w:color="auto"/>
            <w:right w:val="none" w:sz="0" w:space="0" w:color="auto"/>
          </w:divBdr>
          <w:divsChild>
            <w:div w:id="195771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474477">
      <w:bodyDiv w:val="1"/>
      <w:marLeft w:val="0"/>
      <w:marRight w:val="0"/>
      <w:marTop w:val="0"/>
      <w:marBottom w:val="0"/>
      <w:divBdr>
        <w:top w:val="none" w:sz="0" w:space="0" w:color="auto"/>
        <w:left w:val="none" w:sz="0" w:space="0" w:color="auto"/>
        <w:bottom w:val="none" w:sz="0" w:space="0" w:color="auto"/>
        <w:right w:val="none" w:sz="0" w:space="0" w:color="auto"/>
      </w:divBdr>
    </w:div>
    <w:div w:id="691801580">
      <w:bodyDiv w:val="1"/>
      <w:marLeft w:val="0"/>
      <w:marRight w:val="0"/>
      <w:marTop w:val="0"/>
      <w:marBottom w:val="0"/>
      <w:divBdr>
        <w:top w:val="none" w:sz="0" w:space="0" w:color="auto"/>
        <w:left w:val="none" w:sz="0" w:space="0" w:color="auto"/>
        <w:bottom w:val="none" w:sz="0" w:space="0" w:color="auto"/>
        <w:right w:val="none" w:sz="0" w:space="0" w:color="auto"/>
      </w:divBdr>
    </w:div>
    <w:div w:id="697512345">
      <w:bodyDiv w:val="1"/>
      <w:marLeft w:val="0"/>
      <w:marRight w:val="0"/>
      <w:marTop w:val="0"/>
      <w:marBottom w:val="0"/>
      <w:divBdr>
        <w:top w:val="none" w:sz="0" w:space="0" w:color="auto"/>
        <w:left w:val="none" w:sz="0" w:space="0" w:color="auto"/>
        <w:bottom w:val="none" w:sz="0" w:space="0" w:color="auto"/>
        <w:right w:val="none" w:sz="0" w:space="0" w:color="auto"/>
      </w:divBdr>
      <w:divsChild>
        <w:div w:id="948319476">
          <w:marLeft w:val="0"/>
          <w:marRight w:val="0"/>
          <w:marTop w:val="0"/>
          <w:marBottom w:val="0"/>
          <w:divBdr>
            <w:top w:val="none" w:sz="0" w:space="0" w:color="auto"/>
            <w:left w:val="none" w:sz="0" w:space="0" w:color="auto"/>
            <w:bottom w:val="none" w:sz="0" w:space="0" w:color="auto"/>
            <w:right w:val="none" w:sz="0" w:space="0" w:color="auto"/>
          </w:divBdr>
        </w:div>
        <w:div w:id="1559895697">
          <w:marLeft w:val="0"/>
          <w:marRight w:val="0"/>
          <w:marTop w:val="0"/>
          <w:marBottom w:val="0"/>
          <w:divBdr>
            <w:top w:val="none" w:sz="0" w:space="0" w:color="auto"/>
            <w:left w:val="none" w:sz="0" w:space="0" w:color="auto"/>
            <w:bottom w:val="none" w:sz="0" w:space="0" w:color="auto"/>
            <w:right w:val="none" w:sz="0" w:space="0" w:color="auto"/>
          </w:divBdr>
          <w:divsChild>
            <w:div w:id="473914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12580678">
      <w:bodyDiv w:val="1"/>
      <w:marLeft w:val="0"/>
      <w:marRight w:val="0"/>
      <w:marTop w:val="0"/>
      <w:marBottom w:val="0"/>
      <w:divBdr>
        <w:top w:val="none" w:sz="0" w:space="0" w:color="auto"/>
        <w:left w:val="none" w:sz="0" w:space="0" w:color="auto"/>
        <w:bottom w:val="none" w:sz="0" w:space="0" w:color="auto"/>
        <w:right w:val="none" w:sz="0" w:space="0" w:color="auto"/>
      </w:divBdr>
      <w:divsChild>
        <w:div w:id="774449301">
          <w:marLeft w:val="0"/>
          <w:marRight w:val="0"/>
          <w:marTop w:val="0"/>
          <w:marBottom w:val="450"/>
          <w:divBdr>
            <w:top w:val="single" w:sz="6" w:space="12" w:color="E6E6E6"/>
            <w:left w:val="none" w:sz="0" w:space="0" w:color="auto"/>
            <w:bottom w:val="none" w:sz="0" w:space="0" w:color="auto"/>
            <w:right w:val="none" w:sz="0" w:space="0" w:color="auto"/>
          </w:divBdr>
          <w:divsChild>
            <w:div w:id="1757510986">
              <w:marLeft w:val="0"/>
              <w:marRight w:val="0"/>
              <w:marTop w:val="0"/>
              <w:marBottom w:val="0"/>
              <w:divBdr>
                <w:top w:val="none" w:sz="0" w:space="0" w:color="auto"/>
                <w:left w:val="none" w:sz="0" w:space="0" w:color="auto"/>
                <w:bottom w:val="none" w:sz="0" w:space="0" w:color="auto"/>
                <w:right w:val="none" w:sz="0" w:space="0" w:color="auto"/>
              </w:divBdr>
              <w:divsChild>
                <w:div w:id="205115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790">
          <w:marLeft w:val="0"/>
          <w:marRight w:val="0"/>
          <w:marTop w:val="0"/>
          <w:marBottom w:val="0"/>
          <w:divBdr>
            <w:top w:val="none" w:sz="0" w:space="0" w:color="auto"/>
            <w:left w:val="none" w:sz="0" w:space="0" w:color="auto"/>
            <w:bottom w:val="none" w:sz="0" w:space="0" w:color="auto"/>
            <w:right w:val="none" w:sz="0" w:space="0" w:color="auto"/>
          </w:divBdr>
        </w:div>
      </w:divsChild>
    </w:div>
    <w:div w:id="743335133">
      <w:bodyDiv w:val="1"/>
      <w:marLeft w:val="0"/>
      <w:marRight w:val="0"/>
      <w:marTop w:val="0"/>
      <w:marBottom w:val="0"/>
      <w:divBdr>
        <w:top w:val="none" w:sz="0" w:space="0" w:color="auto"/>
        <w:left w:val="none" w:sz="0" w:space="0" w:color="auto"/>
        <w:bottom w:val="none" w:sz="0" w:space="0" w:color="auto"/>
        <w:right w:val="none" w:sz="0" w:space="0" w:color="auto"/>
      </w:divBdr>
      <w:divsChild>
        <w:div w:id="1116414935">
          <w:marLeft w:val="0"/>
          <w:marRight w:val="0"/>
          <w:marTop w:val="0"/>
          <w:marBottom w:val="0"/>
          <w:divBdr>
            <w:top w:val="none" w:sz="0" w:space="0" w:color="auto"/>
            <w:left w:val="none" w:sz="0" w:space="0" w:color="auto"/>
            <w:bottom w:val="none" w:sz="0" w:space="0" w:color="auto"/>
            <w:right w:val="none" w:sz="0" w:space="0" w:color="auto"/>
          </w:divBdr>
        </w:div>
        <w:div w:id="128321829">
          <w:marLeft w:val="0"/>
          <w:marRight w:val="0"/>
          <w:marTop w:val="0"/>
          <w:marBottom w:val="0"/>
          <w:divBdr>
            <w:top w:val="none" w:sz="0" w:space="0" w:color="auto"/>
            <w:left w:val="none" w:sz="0" w:space="0" w:color="auto"/>
            <w:bottom w:val="none" w:sz="0" w:space="0" w:color="auto"/>
            <w:right w:val="none" w:sz="0" w:space="0" w:color="auto"/>
          </w:divBdr>
        </w:div>
        <w:div w:id="1209028126">
          <w:marLeft w:val="0"/>
          <w:marRight w:val="0"/>
          <w:marTop w:val="0"/>
          <w:marBottom w:val="0"/>
          <w:divBdr>
            <w:top w:val="none" w:sz="0" w:space="0" w:color="auto"/>
            <w:left w:val="none" w:sz="0" w:space="0" w:color="auto"/>
            <w:bottom w:val="none" w:sz="0" w:space="0" w:color="auto"/>
            <w:right w:val="none" w:sz="0" w:space="0" w:color="auto"/>
          </w:divBdr>
        </w:div>
        <w:div w:id="1209219167">
          <w:marLeft w:val="0"/>
          <w:marRight w:val="0"/>
          <w:marTop w:val="0"/>
          <w:marBottom w:val="0"/>
          <w:divBdr>
            <w:top w:val="none" w:sz="0" w:space="0" w:color="auto"/>
            <w:left w:val="none" w:sz="0" w:space="0" w:color="auto"/>
            <w:bottom w:val="none" w:sz="0" w:space="0" w:color="auto"/>
            <w:right w:val="none" w:sz="0" w:space="0" w:color="auto"/>
          </w:divBdr>
          <w:divsChild>
            <w:div w:id="1906330057">
              <w:marLeft w:val="0"/>
              <w:marRight w:val="0"/>
              <w:marTop w:val="0"/>
              <w:marBottom w:val="0"/>
              <w:divBdr>
                <w:top w:val="none" w:sz="0" w:space="0" w:color="auto"/>
                <w:left w:val="none" w:sz="0" w:space="0" w:color="auto"/>
                <w:bottom w:val="none" w:sz="0" w:space="0" w:color="auto"/>
                <w:right w:val="none" w:sz="0" w:space="0" w:color="auto"/>
              </w:divBdr>
              <w:divsChild>
                <w:div w:id="18551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741167">
      <w:bodyDiv w:val="1"/>
      <w:marLeft w:val="0"/>
      <w:marRight w:val="0"/>
      <w:marTop w:val="0"/>
      <w:marBottom w:val="0"/>
      <w:divBdr>
        <w:top w:val="none" w:sz="0" w:space="0" w:color="auto"/>
        <w:left w:val="none" w:sz="0" w:space="0" w:color="auto"/>
        <w:bottom w:val="none" w:sz="0" w:space="0" w:color="auto"/>
        <w:right w:val="none" w:sz="0" w:space="0" w:color="auto"/>
      </w:divBdr>
      <w:divsChild>
        <w:div w:id="589850245">
          <w:marLeft w:val="0"/>
          <w:marRight w:val="0"/>
          <w:marTop w:val="0"/>
          <w:marBottom w:val="150"/>
          <w:divBdr>
            <w:top w:val="none" w:sz="0" w:space="4" w:color="auto"/>
            <w:left w:val="none" w:sz="0" w:space="0" w:color="auto"/>
            <w:bottom w:val="single" w:sz="6" w:space="4" w:color="DDDDDD"/>
            <w:right w:val="none" w:sz="0" w:space="0" w:color="auto"/>
          </w:divBdr>
        </w:div>
        <w:div w:id="1742866356">
          <w:marLeft w:val="0"/>
          <w:marRight w:val="0"/>
          <w:marTop w:val="375"/>
          <w:marBottom w:val="0"/>
          <w:divBdr>
            <w:top w:val="none" w:sz="0" w:space="0" w:color="auto"/>
            <w:left w:val="none" w:sz="0" w:space="0" w:color="auto"/>
            <w:bottom w:val="none" w:sz="0" w:space="0" w:color="auto"/>
            <w:right w:val="none" w:sz="0" w:space="0" w:color="auto"/>
          </w:divBdr>
          <w:divsChild>
            <w:div w:id="359404046">
              <w:marLeft w:val="0"/>
              <w:marRight w:val="0"/>
              <w:marTop w:val="0"/>
              <w:marBottom w:val="0"/>
              <w:divBdr>
                <w:top w:val="none" w:sz="0" w:space="0" w:color="auto"/>
                <w:left w:val="none" w:sz="0" w:space="0" w:color="auto"/>
                <w:bottom w:val="none" w:sz="0" w:space="0" w:color="auto"/>
                <w:right w:val="none" w:sz="0" w:space="0" w:color="auto"/>
              </w:divBdr>
            </w:div>
            <w:div w:id="745959988">
              <w:marLeft w:val="0"/>
              <w:marRight w:val="0"/>
              <w:marTop w:val="0"/>
              <w:marBottom w:val="0"/>
              <w:divBdr>
                <w:top w:val="none" w:sz="0" w:space="0" w:color="auto"/>
                <w:left w:val="none" w:sz="0" w:space="0" w:color="auto"/>
                <w:bottom w:val="none" w:sz="0" w:space="0" w:color="auto"/>
                <w:right w:val="none" w:sz="0" w:space="0" w:color="auto"/>
              </w:divBdr>
            </w:div>
          </w:divsChild>
        </w:div>
        <w:div w:id="1574923681">
          <w:marLeft w:val="0"/>
          <w:marRight w:val="0"/>
          <w:marTop w:val="120"/>
          <w:marBottom w:val="120"/>
          <w:divBdr>
            <w:top w:val="single" w:sz="6" w:space="6" w:color="EEEEEE"/>
            <w:left w:val="single" w:sz="6" w:space="0" w:color="EEEEEE"/>
            <w:bottom w:val="single" w:sz="6" w:space="6" w:color="EEEEEE"/>
            <w:right w:val="single" w:sz="6" w:space="0" w:color="EEEEEE"/>
          </w:divBdr>
        </w:div>
        <w:div w:id="413550016">
          <w:marLeft w:val="0"/>
          <w:marRight w:val="0"/>
          <w:marTop w:val="0"/>
          <w:marBottom w:val="0"/>
          <w:divBdr>
            <w:top w:val="none" w:sz="0" w:space="0" w:color="auto"/>
            <w:left w:val="none" w:sz="0" w:space="0" w:color="auto"/>
            <w:bottom w:val="none" w:sz="0" w:space="0" w:color="auto"/>
            <w:right w:val="none" w:sz="0" w:space="0" w:color="auto"/>
          </w:divBdr>
          <w:divsChild>
            <w:div w:id="1796677531">
              <w:marLeft w:val="0"/>
              <w:marRight w:val="0"/>
              <w:marTop w:val="0"/>
              <w:marBottom w:val="0"/>
              <w:divBdr>
                <w:top w:val="none" w:sz="0" w:space="0" w:color="auto"/>
                <w:left w:val="none" w:sz="0" w:space="0" w:color="auto"/>
                <w:bottom w:val="none" w:sz="0" w:space="0" w:color="auto"/>
                <w:right w:val="none" w:sz="0" w:space="0" w:color="auto"/>
              </w:divBdr>
              <w:divsChild>
                <w:div w:id="1376542833">
                  <w:marLeft w:val="0"/>
                  <w:marRight w:val="0"/>
                  <w:marTop w:val="0"/>
                  <w:marBottom w:val="0"/>
                  <w:divBdr>
                    <w:top w:val="none" w:sz="0" w:space="0" w:color="auto"/>
                    <w:left w:val="none" w:sz="0" w:space="0" w:color="auto"/>
                    <w:bottom w:val="none" w:sz="0" w:space="0" w:color="auto"/>
                    <w:right w:val="none" w:sz="0" w:space="0" w:color="auto"/>
                  </w:divBdr>
                  <w:divsChild>
                    <w:div w:id="1193611354">
                      <w:marLeft w:val="0"/>
                      <w:marRight w:val="0"/>
                      <w:marTop w:val="0"/>
                      <w:marBottom w:val="0"/>
                      <w:divBdr>
                        <w:top w:val="none" w:sz="0" w:space="0" w:color="auto"/>
                        <w:left w:val="none" w:sz="0" w:space="0" w:color="auto"/>
                        <w:bottom w:val="none" w:sz="0" w:space="0" w:color="auto"/>
                        <w:right w:val="none" w:sz="0" w:space="0" w:color="auto"/>
                      </w:divBdr>
                      <w:divsChild>
                        <w:div w:id="1838374866">
                          <w:marLeft w:val="0"/>
                          <w:marRight w:val="0"/>
                          <w:marTop w:val="0"/>
                          <w:marBottom w:val="0"/>
                          <w:divBdr>
                            <w:top w:val="none" w:sz="0" w:space="0" w:color="auto"/>
                            <w:left w:val="none" w:sz="0" w:space="0" w:color="auto"/>
                            <w:bottom w:val="none" w:sz="0" w:space="0" w:color="auto"/>
                            <w:right w:val="none" w:sz="0" w:space="0" w:color="auto"/>
                          </w:divBdr>
                        </w:div>
                        <w:div w:id="398673420">
                          <w:marLeft w:val="0"/>
                          <w:marRight w:val="0"/>
                          <w:marTop w:val="0"/>
                          <w:marBottom w:val="0"/>
                          <w:divBdr>
                            <w:top w:val="none" w:sz="0" w:space="0" w:color="auto"/>
                            <w:left w:val="none" w:sz="0" w:space="0" w:color="auto"/>
                            <w:bottom w:val="none" w:sz="0" w:space="0" w:color="auto"/>
                            <w:right w:val="none" w:sz="0" w:space="0" w:color="auto"/>
                          </w:divBdr>
                          <w:divsChild>
                            <w:div w:id="29770330">
                              <w:marLeft w:val="0"/>
                              <w:marRight w:val="0"/>
                              <w:marTop w:val="0"/>
                              <w:marBottom w:val="0"/>
                              <w:divBdr>
                                <w:top w:val="none" w:sz="0" w:space="0" w:color="auto"/>
                                <w:left w:val="none" w:sz="0" w:space="0" w:color="auto"/>
                                <w:bottom w:val="none" w:sz="0" w:space="0" w:color="auto"/>
                                <w:right w:val="none" w:sz="0" w:space="0" w:color="auto"/>
                              </w:divBdr>
                              <w:divsChild>
                                <w:div w:id="834027730">
                                  <w:marLeft w:val="0"/>
                                  <w:marRight w:val="0"/>
                                  <w:marTop w:val="0"/>
                                  <w:marBottom w:val="0"/>
                                  <w:divBdr>
                                    <w:top w:val="none" w:sz="0" w:space="0" w:color="auto"/>
                                    <w:left w:val="none" w:sz="0" w:space="0" w:color="auto"/>
                                    <w:bottom w:val="none" w:sz="0" w:space="0" w:color="auto"/>
                                    <w:right w:val="none" w:sz="0" w:space="0" w:color="auto"/>
                                  </w:divBdr>
                                  <w:divsChild>
                                    <w:div w:id="743526860">
                                      <w:marLeft w:val="0"/>
                                      <w:marRight w:val="0"/>
                                      <w:marTop w:val="0"/>
                                      <w:marBottom w:val="0"/>
                                      <w:divBdr>
                                        <w:top w:val="none" w:sz="0" w:space="0" w:color="auto"/>
                                        <w:left w:val="none" w:sz="0" w:space="0" w:color="auto"/>
                                        <w:bottom w:val="none" w:sz="0" w:space="0" w:color="auto"/>
                                        <w:right w:val="none" w:sz="0" w:space="0" w:color="auto"/>
                                      </w:divBdr>
                                    </w:div>
                                  </w:divsChild>
                                </w:div>
                                <w:div w:id="1396852522">
                                  <w:marLeft w:val="0"/>
                                  <w:marRight w:val="0"/>
                                  <w:marTop w:val="0"/>
                                  <w:marBottom w:val="0"/>
                                  <w:divBdr>
                                    <w:top w:val="none" w:sz="0" w:space="0" w:color="auto"/>
                                    <w:left w:val="none" w:sz="0" w:space="0" w:color="auto"/>
                                    <w:bottom w:val="none" w:sz="0" w:space="0" w:color="auto"/>
                                    <w:right w:val="none" w:sz="0" w:space="0" w:color="auto"/>
                                  </w:divBdr>
                                </w:div>
                                <w:div w:id="1063988403">
                                  <w:marLeft w:val="0"/>
                                  <w:marRight w:val="0"/>
                                  <w:marTop w:val="0"/>
                                  <w:marBottom w:val="0"/>
                                  <w:divBdr>
                                    <w:top w:val="none" w:sz="0" w:space="0" w:color="auto"/>
                                    <w:left w:val="none" w:sz="0" w:space="0" w:color="auto"/>
                                    <w:bottom w:val="none" w:sz="0" w:space="0" w:color="auto"/>
                                    <w:right w:val="none" w:sz="0" w:space="0" w:color="auto"/>
                                  </w:divBdr>
                                </w:div>
                                <w:div w:id="13730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214580">
      <w:bodyDiv w:val="1"/>
      <w:marLeft w:val="0"/>
      <w:marRight w:val="0"/>
      <w:marTop w:val="0"/>
      <w:marBottom w:val="0"/>
      <w:divBdr>
        <w:top w:val="none" w:sz="0" w:space="0" w:color="auto"/>
        <w:left w:val="none" w:sz="0" w:space="0" w:color="auto"/>
        <w:bottom w:val="none" w:sz="0" w:space="0" w:color="auto"/>
        <w:right w:val="none" w:sz="0" w:space="0" w:color="auto"/>
      </w:divBdr>
      <w:divsChild>
        <w:div w:id="169492927">
          <w:marLeft w:val="0"/>
          <w:marRight w:val="0"/>
          <w:marTop w:val="480"/>
          <w:marBottom w:val="210"/>
          <w:divBdr>
            <w:top w:val="none" w:sz="0" w:space="0" w:color="auto"/>
            <w:left w:val="none" w:sz="0" w:space="0" w:color="auto"/>
            <w:bottom w:val="dashed" w:sz="2" w:space="4" w:color="BDBDBD"/>
            <w:right w:val="none" w:sz="0" w:space="0" w:color="auto"/>
          </w:divBdr>
          <w:divsChild>
            <w:div w:id="569117113">
              <w:marLeft w:val="0"/>
              <w:marRight w:val="0"/>
              <w:marTop w:val="0"/>
              <w:marBottom w:val="0"/>
              <w:divBdr>
                <w:top w:val="none" w:sz="0" w:space="0" w:color="auto"/>
                <w:left w:val="none" w:sz="0" w:space="0" w:color="auto"/>
                <w:bottom w:val="none" w:sz="0" w:space="0" w:color="auto"/>
                <w:right w:val="none" w:sz="0" w:space="0" w:color="auto"/>
              </w:divBdr>
            </w:div>
          </w:divsChild>
        </w:div>
        <w:div w:id="1269849503">
          <w:marLeft w:val="0"/>
          <w:marRight w:val="0"/>
          <w:marTop w:val="300"/>
          <w:marBottom w:val="300"/>
          <w:divBdr>
            <w:top w:val="none" w:sz="0" w:space="0" w:color="auto"/>
            <w:left w:val="none" w:sz="0" w:space="0" w:color="auto"/>
            <w:bottom w:val="none" w:sz="0" w:space="0" w:color="auto"/>
            <w:right w:val="none" w:sz="0" w:space="0" w:color="auto"/>
          </w:divBdr>
        </w:div>
        <w:div w:id="517350781">
          <w:marLeft w:val="0"/>
          <w:marRight w:val="0"/>
          <w:marTop w:val="0"/>
          <w:marBottom w:val="0"/>
          <w:divBdr>
            <w:top w:val="none" w:sz="0" w:space="0" w:color="auto"/>
            <w:left w:val="none" w:sz="0" w:space="0" w:color="auto"/>
            <w:bottom w:val="none" w:sz="0" w:space="0" w:color="auto"/>
            <w:right w:val="none" w:sz="0" w:space="0" w:color="auto"/>
          </w:divBdr>
          <w:divsChild>
            <w:div w:id="1531650862">
              <w:marLeft w:val="375"/>
              <w:marRight w:val="0"/>
              <w:marTop w:val="0"/>
              <w:marBottom w:val="225"/>
              <w:divBdr>
                <w:top w:val="none" w:sz="0" w:space="0" w:color="auto"/>
                <w:left w:val="none" w:sz="0" w:space="0" w:color="auto"/>
                <w:bottom w:val="none" w:sz="0" w:space="0" w:color="auto"/>
                <w:right w:val="none" w:sz="0" w:space="0" w:color="auto"/>
              </w:divBdr>
              <w:divsChild>
                <w:div w:id="249430098">
                  <w:marLeft w:val="0"/>
                  <w:marRight w:val="0"/>
                  <w:marTop w:val="0"/>
                  <w:marBottom w:val="0"/>
                  <w:divBdr>
                    <w:top w:val="single" w:sz="18" w:space="0" w:color="007F74"/>
                    <w:left w:val="single" w:sz="6" w:space="0" w:color="CCCCCC"/>
                    <w:bottom w:val="single" w:sz="6" w:space="0" w:color="CCCCCC"/>
                    <w:right w:val="single" w:sz="6" w:space="0" w:color="CCCCCC"/>
                  </w:divBdr>
                </w:div>
              </w:divsChild>
            </w:div>
          </w:divsChild>
        </w:div>
      </w:divsChild>
    </w:div>
    <w:div w:id="899750696">
      <w:bodyDiv w:val="1"/>
      <w:marLeft w:val="0"/>
      <w:marRight w:val="0"/>
      <w:marTop w:val="0"/>
      <w:marBottom w:val="0"/>
      <w:divBdr>
        <w:top w:val="none" w:sz="0" w:space="0" w:color="auto"/>
        <w:left w:val="none" w:sz="0" w:space="0" w:color="auto"/>
        <w:bottom w:val="none" w:sz="0" w:space="0" w:color="auto"/>
        <w:right w:val="none" w:sz="0" w:space="0" w:color="auto"/>
      </w:divBdr>
      <w:divsChild>
        <w:div w:id="1565792210">
          <w:marLeft w:val="0"/>
          <w:marRight w:val="0"/>
          <w:marTop w:val="0"/>
          <w:marBottom w:val="0"/>
          <w:divBdr>
            <w:top w:val="none" w:sz="0" w:space="0" w:color="auto"/>
            <w:left w:val="none" w:sz="0" w:space="0" w:color="auto"/>
            <w:bottom w:val="none" w:sz="0" w:space="0" w:color="auto"/>
            <w:right w:val="none" w:sz="0" w:space="0" w:color="auto"/>
          </w:divBdr>
          <w:divsChild>
            <w:div w:id="1716395166">
              <w:marLeft w:val="0"/>
              <w:marRight w:val="0"/>
              <w:marTop w:val="0"/>
              <w:marBottom w:val="0"/>
              <w:divBdr>
                <w:top w:val="none" w:sz="0" w:space="0" w:color="auto"/>
                <w:left w:val="none" w:sz="0" w:space="0" w:color="auto"/>
                <w:bottom w:val="none" w:sz="0" w:space="0" w:color="auto"/>
                <w:right w:val="none" w:sz="0" w:space="0" w:color="auto"/>
              </w:divBdr>
            </w:div>
          </w:divsChild>
        </w:div>
        <w:div w:id="1918204167">
          <w:marLeft w:val="0"/>
          <w:marRight w:val="0"/>
          <w:marTop w:val="150"/>
          <w:marBottom w:val="150"/>
          <w:divBdr>
            <w:top w:val="none" w:sz="0" w:space="0" w:color="auto"/>
            <w:left w:val="none" w:sz="0" w:space="0" w:color="auto"/>
            <w:bottom w:val="none" w:sz="0" w:space="0" w:color="auto"/>
            <w:right w:val="none" w:sz="0" w:space="0" w:color="auto"/>
          </w:divBdr>
          <w:divsChild>
            <w:div w:id="291012436">
              <w:marLeft w:val="0"/>
              <w:marRight w:val="0"/>
              <w:marTop w:val="0"/>
              <w:marBottom w:val="180"/>
              <w:divBdr>
                <w:top w:val="none" w:sz="0" w:space="0" w:color="auto"/>
                <w:left w:val="none" w:sz="0" w:space="0" w:color="auto"/>
                <w:bottom w:val="none" w:sz="0" w:space="0" w:color="auto"/>
                <w:right w:val="none" w:sz="0" w:space="0" w:color="auto"/>
              </w:divBdr>
              <w:divsChild>
                <w:div w:id="2538233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11958752">
          <w:marLeft w:val="0"/>
          <w:marRight w:val="0"/>
          <w:marTop w:val="0"/>
          <w:marBottom w:val="0"/>
          <w:divBdr>
            <w:top w:val="none" w:sz="0" w:space="0" w:color="auto"/>
            <w:left w:val="none" w:sz="0" w:space="0" w:color="auto"/>
            <w:bottom w:val="none" w:sz="0" w:space="0" w:color="auto"/>
            <w:right w:val="none" w:sz="0" w:space="0" w:color="auto"/>
          </w:divBdr>
          <w:divsChild>
            <w:div w:id="59247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41167">
      <w:bodyDiv w:val="1"/>
      <w:marLeft w:val="0"/>
      <w:marRight w:val="0"/>
      <w:marTop w:val="0"/>
      <w:marBottom w:val="0"/>
      <w:divBdr>
        <w:top w:val="none" w:sz="0" w:space="0" w:color="auto"/>
        <w:left w:val="none" w:sz="0" w:space="0" w:color="auto"/>
        <w:bottom w:val="none" w:sz="0" w:space="0" w:color="auto"/>
        <w:right w:val="none" w:sz="0" w:space="0" w:color="auto"/>
      </w:divBdr>
      <w:divsChild>
        <w:div w:id="797992643">
          <w:marLeft w:val="0"/>
          <w:marRight w:val="0"/>
          <w:marTop w:val="0"/>
          <w:marBottom w:val="150"/>
          <w:divBdr>
            <w:top w:val="none" w:sz="0" w:space="0" w:color="auto"/>
            <w:left w:val="none" w:sz="0" w:space="0" w:color="auto"/>
            <w:bottom w:val="single" w:sz="6" w:space="4" w:color="E1E1E1"/>
            <w:right w:val="none" w:sz="0" w:space="0" w:color="auto"/>
          </w:divBdr>
          <w:divsChild>
            <w:div w:id="1955944702">
              <w:marLeft w:val="0"/>
              <w:marRight w:val="0"/>
              <w:marTop w:val="0"/>
              <w:marBottom w:val="0"/>
              <w:divBdr>
                <w:top w:val="none" w:sz="0" w:space="0" w:color="auto"/>
                <w:left w:val="none" w:sz="0" w:space="0" w:color="auto"/>
                <w:bottom w:val="none" w:sz="0" w:space="0" w:color="auto"/>
                <w:right w:val="none" w:sz="0" w:space="0" w:color="auto"/>
              </w:divBdr>
            </w:div>
          </w:divsChild>
        </w:div>
        <w:div w:id="137847054">
          <w:marLeft w:val="0"/>
          <w:marRight w:val="0"/>
          <w:marTop w:val="90"/>
          <w:marBottom w:val="90"/>
          <w:divBdr>
            <w:top w:val="none" w:sz="0" w:space="0" w:color="auto"/>
            <w:left w:val="none" w:sz="0" w:space="0" w:color="auto"/>
            <w:bottom w:val="none" w:sz="0" w:space="0" w:color="auto"/>
            <w:right w:val="none" w:sz="0" w:space="0" w:color="auto"/>
          </w:divBdr>
        </w:div>
        <w:div w:id="1891648128">
          <w:marLeft w:val="0"/>
          <w:marRight w:val="0"/>
          <w:marTop w:val="0"/>
          <w:marBottom w:val="0"/>
          <w:divBdr>
            <w:top w:val="none" w:sz="0" w:space="0" w:color="auto"/>
            <w:left w:val="none" w:sz="0" w:space="0" w:color="auto"/>
            <w:bottom w:val="none" w:sz="0" w:space="0" w:color="auto"/>
            <w:right w:val="none" w:sz="0" w:space="0" w:color="auto"/>
          </w:divBdr>
        </w:div>
      </w:divsChild>
    </w:div>
    <w:div w:id="1026440207">
      <w:bodyDiv w:val="1"/>
      <w:marLeft w:val="0"/>
      <w:marRight w:val="0"/>
      <w:marTop w:val="0"/>
      <w:marBottom w:val="0"/>
      <w:divBdr>
        <w:top w:val="none" w:sz="0" w:space="0" w:color="auto"/>
        <w:left w:val="none" w:sz="0" w:space="0" w:color="auto"/>
        <w:bottom w:val="none" w:sz="0" w:space="0" w:color="auto"/>
        <w:right w:val="none" w:sz="0" w:space="0" w:color="auto"/>
      </w:divBdr>
    </w:div>
    <w:div w:id="1048260111">
      <w:bodyDiv w:val="1"/>
      <w:marLeft w:val="0"/>
      <w:marRight w:val="0"/>
      <w:marTop w:val="0"/>
      <w:marBottom w:val="0"/>
      <w:divBdr>
        <w:top w:val="none" w:sz="0" w:space="0" w:color="auto"/>
        <w:left w:val="none" w:sz="0" w:space="0" w:color="auto"/>
        <w:bottom w:val="none" w:sz="0" w:space="0" w:color="auto"/>
        <w:right w:val="none" w:sz="0" w:space="0" w:color="auto"/>
      </w:divBdr>
      <w:divsChild>
        <w:div w:id="473136245">
          <w:marLeft w:val="0"/>
          <w:marRight w:val="0"/>
          <w:marTop w:val="150"/>
          <w:marBottom w:val="0"/>
          <w:divBdr>
            <w:top w:val="none" w:sz="0" w:space="0" w:color="auto"/>
            <w:left w:val="none" w:sz="0" w:space="0" w:color="auto"/>
            <w:bottom w:val="none" w:sz="0" w:space="0" w:color="auto"/>
            <w:right w:val="none" w:sz="0" w:space="0" w:color="auto"/>
          </w:divBdr>
        </w:div>
      </w:divsChild>
    </w:div>
    <w:div w:id="1076392196">
      <w:bodyDiv w:val="1"/>
      <w:marLeft w:val="0"/>
      <w:marRight w:val="0"/>
      <w:marTop w:val="0"/>
      <w:marBottom w:val="0"/>
      <w:divBdr>
        <w:top w:val="none" w:sz="0" w:space="0" w:color="auto"/>
        <w:left w:val="none" w:sz="0" w:space="0" w:color="auto"/>
        <w:bottom w:val="none" w:sz="0" w:space="0" w:color="auto"/>
        <w:right w:val="none" w:sz="0" w:space="0" w:color="auto"/>
      </w:divBdr>
      <w:divsChild>
        <w:div w:id="1414667894">
          <w:marLeft w:val="0"/>
          <w:marRight w:val="0"/>
          <w:marTop w:val="0"/>
          <w:marBottom w:val="0"/>
          <w:divBdr>
            <w:top w:val="none" w:sz="0" w:space="0" w:color="auto"/>
            <w:left w:val="none" w:sz="0" w:space="0" w:color="auto"/>
            <w:bottom w:val="none" w:sz="0" w:space="0" w:color="auto"/>
            <w:right w:val="none" w:sz="0" w:space="0" w:color="auto"/>
          </w:divBdr>
        </w:div>
        <w:div w:id="1932275635">
          <w:marLeft w:val="0"/>
          <w:marRight w:val="0"/>
          <w:marTop w:val="0"/>
          <w:marBottom w:val="0"/>
          <w:divBdr>
            <w:top w:val="none" w:sz="0" w:space="0" w:color="auto"/>
            <w:left w:val="none" w:sz="0" w:space="0" w:color="auto"/>
            <w:bottom w:val="none" w:sz="0" w:space="0" w:color="auto"/>
            <w:right w:val="none" w:sz="0" w:space="0" w:color="auto"/>
          </w:divBdr>
          <w:divsChild>
            <w:div w:id="461769325">
              <w:marLeft w:val="0"/>
              <w:marRight w:val="0"/>
              <w:marTop w:val="0"/>
              <w:marBottom w:val="0"/>
              <w:divBdr>
                <w:top w:val="none" w:sz="0" w:space="0" w:color="auto"/>
                <w:left w:val="none" w:sz="0" w:space="0" w:color="auto"/>
                <w:bottom w:val="none" w:sz="0" w:space="0" w:color="auto"/>
                <w:right w:val="none" w:sz="0" w:space="0" w:color="auto"/>
              </w:divBdr>
              <w:divsChild>
                <w:div w:id="52451378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097095583">
          <w:marLeft w:val="0"/>
          <w:marRight w:val="0"/>
          <w:marTop w:val="0"/>
          <w:marBottom w:val="0"/>
          <w:divBdr>
            <w:top w:val="none" w:sz="0" w:space="0" w:color="auto"/>
            <w:left w:val="none" w:sz="0" w:space="0" w:color="auto"/>
            <w:bottom w:val="none" w:sz="0" w:space="0" w:color="auto"/>
            <w:right w:val="none" w:sz="0" w:space="0" w:color="auto"/>
          </w:divBdr>
        </w:div>
        <w:div w:id="1388457238">
          <w:marLeft w:val="0"/>
          <w:marRight w:val="0"/>
          <w:marTop w:val="0"/>
          <w:marBottom w:val="0"/>
          <w:divBdr>
            <w:top w:val="none" w:sz="0" w:space="0" w:color="auto"/>
            <w:left w:val="none" w:sz="0" w:space="0" w:color="auto"/>
            <w:bottom w:val="none" w:sz="0" w:space="0" w:color="auto"/>
            <w:right w:val="none" w:sz="0" w:space="0" w:color="auto"/>
          </w:divBdr>
          <w:divsChild>
            <w:div w:id="961687003">
              <w:marLeft w:val="0"/>
              <w:marRight w:val="0"/>
              <w:marTop w:val="0"/>
              <w:marBottom w:val="0"/>
              <w:divBdr>
                <w:top w:val="none" w:sz="0" w:space="0" w:color="auto"/>
                <w:left w:val="none" w:sz="0" w:space="0" w:color="auto"/>
                <w:bottom w:val="none" w:sz="0" w:space="0" w:color="auto"/>
                <w:right w:val="none" w:sz="0" w:space="0" w:color="auto"/>
              </w:divBdr>
              <w:divsChild>
                <w:div w:id="23640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746962">
      <w:bodyDiv w:val="1"/>
      <w:marLeft w:val="0"/>
      <w:marRight w:val="0"/>
      <w:marTop w:val="0"/>
      <w:marBottom w:val="0"/>
      <w:divBdr>
        <w:top w:val="none" w:sz="0" w:space="0" w:color="auto"/>
        <w:left w:val="none" w:sz="0" w:space="0" w:color="auto"/>
        <w:bottom w:val="none" w:sz="0" w:space="0" w:color="auto"/>
        <w:right w:val="none" w:sz="0" w:space="0" w:color="auto"/>
      </w:divBdr>
    </w:div>
    <w:div w:id="1132751539">
      <w:bodyDiv w:val="1"/>
      <w:marLeft w:val="0"/>
      <w:marRight w:val="0"/>
      <w:marTop w:val="0"/>
      <w:marBottom w:val="0"/>
      <w:divBdr>
        <w:top w:val="none" w:sz="0" w:space="0" w:color="auto"/>
        <w:left w:val="none" w:sz="0" w:space="0" w:color="auto"/>
        <w:bottom w:val="none" w:sz="0" w:space="0" w:color="auto"/>
        <w:right w:val="none" w:sz="0" w:space="0" w:color="auto"/>
      </w:divBdr>
    </w:div>
    <w:div w:id="1175878141">
      <w:bodyDiv w:val="1"/>
      <w:marLeft w:val="0"/>
      <w:marRight w:val="0"/>
      <w:marTop w:val="0"/>
      <w:marBottom w:val="0"/>
      <w:divBdr>
        <w:top w:val="none" w:sz="0" w:space="0" w:color="auto"/>
        <w:left w:val="none" w:sz="0" w:space="0" w:color="auto"/>
        <w:bottom w:val="none" w:sz="0" w:space="0" w:color="auto"/>
        <w:right w:val="none" w:sz="0" w:space="0" w:color="auto"/>
      </w:divBdr>
    </w:div>
    <w:div w:id="1178736671">
      <w:bodyDiv w:val="1"/>
      <w:marLeft w:val="0"/>
      <w:marRight w:val="0"/>
      <w:marTop w:val="0"/>
      <w:marBottom w:val="0"/>
      <w:divBdr>
        <w:top w:val="none" w:sz="0" w:space="0" w:color="auto"/>
        <w:left w:val="none" w:sz="0" w:space="0" w:color="auto"/>
        <w:bottom w:val="none" w:sz="0" w:space="0" w:color="auto"/>
        <w:right w:val="none" w:sz="0" w:space="0" w:color="auto"/>
      </w:divBdr>
      <w:divsChild>
        <w:div w:id="1961573364">
          <w:marLeft w:val="0"/>
          <w:marRight w:val="0"/>
          <w:marTop w:val="0"/>
          <w:marBottom w:val="0"/>
          <w:divBdr>
            <w:top w:val="none" w:sz="0" w:space="0" w:color="auto"/>
            <w:left w:val="none" w:sz="0" w:space="0" w:color="auto"/>
            <w:bottom w:val="none" w:sz="0" w:space="0" w:color="auto"/>
            <w:right w:val="none" w:sz="0" w:space="0" w:color="auto"/>
          </w:divBdr>
        </w:div>
        <w:div w:id="283584787">
          <w:marLeft w:val="0"/>
          <w:marRight w:val="0"/>
          <w:marTop w:val="0"/>
          <w:marBottom w:val="0"/>
          <w:divBdr>
            <w:top w:val="none" w:sz="0" w:space="0" w:color="auto"/>
            <w:left w:val="none" w:sz="0" w:space="0" w:color="auto"/>
            <w:bottom w:val="none" w:sz="0" w:space="0" w:color="auto"/>
            <w:right w:val="none" w:sz="0" w:space="0" w:color="auto"/>
          </w:divBdr>
        </w:div>
      </w:divsChild>
    </w:div>
    <w:div w:id="1273241986">
      <w:bodyDiv w:val="1"/>
      <w:marLeft w:val="0"/>
      <w:marRight w:val="0"/>
      <w:marTop w:val="0"/>
      <w:marBottom w:val="0"/>
      <w:divBdr>
        <w:top w:val="none" w:sz="0" w:space="0" w:color="auto"/>
        <w:left w:val="none" w:sz="0" w:space="0" w:color="auto"/>
        <w:bottom w:val="none" w:sz="0" w:space="0" w:color="auto"/>
        <w:right w:val="none" w:sz="0" w:space="0" w:color="auto"/>
      </w:divBdr>
      <w:divsChild>
        <w:div w:id="513498803">
          <w:marLeft w:val="0"/>
          <w:marRight w:val="0"/>
          <w:marTop w:val="0"/>
          <w:marBottom w:val="0"/>
          <w:divBdr>
            <w:top w:val="none" w:sz="0" w:space="0" w:color="auto"/>
            <w:left w:val="none" w:sz="0" w:space="0" w:color="auto"/>
            <w:bottom w:val="none" w:sz="0" w:space="0" w:color="auto"/>
            <w:right w:val="none" w:sz="0" w:space="0" w:color="auto"/>
          </w:divBdr>
        </w:div>
        <w:div w:id="233056154">
          <w:marLeft w:val="0"/>
          <w:marRight w:val="0"/>
          <w:marTop w:val="0"/>
          <w:marBottom w:val="0"/>
          <w:divBdr>
            <w:top w:val="none" w:sz="0" w:space="0" w:color="auto"/>
            <w:left w:val="none" w:sz="0" w:space="0" w:color="auto"/>
            <w:bottom w:val="none" w:sz="0" w:space="0" w:color="auto"/>
            <w:right w:val="none" w:sz="0" w:space="0" w:color="auto"/>
          </w:divBdr>
        </w:div>
      </w:divsChild>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sChild>
        <w:div w:id="418983260">
          <w:marLeft w:val="0"/>
          <w:marRight w:val="0"/>
          <w:marTop w:val="480"/>
          <w:marBottom w:val="210"/>
          <w:divBdr>
            <w:top w:val="none" w:sz="0" w:space="0" w:color="auto"/>
            <w:left w:val="none" w:sz="0" w:space="0" w:color="auto"/>
            <w:bottom w:val="dashed" w:sz="2" w:space="4" w:color="BDBDBD"/>
            <w:right w:val="none" w:sz="0" w:space="0" w:color="auto"/>
          </w:divBdr>
          <w:divsChild>
            <w:div w:id="1774671642">
              <w:marLeft w:val="0"/>
              <w:marRight w:val="0"/>
              <w:marTop w:val="0"/>
              <w:marBottom w:val="0"/>
              <w:divBdr>
                <w:top w:val="none" w:sz="0" w:space="0" w:color="auto"/>
                <w:left w:val="none" w:sz="0" w:space="0" w:color="auto"/>
                <w:bottom w:val="none" w:sz="0" w:space="0" w:color="auto"/>
                <w:right w:val="none" w:sz="0" w:space="0" w:color="auto"/>
              </w:divBdr>
            </w:div>
          </w:divsChild>
        </w:div>
        <w:div w:id="1216358273">
          <w:marLeft w:val="0"/>
          <w:marRight w:val="0"/>
          <w:marTop w:val="300"/>
          <w:marBottom w:val="300"/>
          <w:divBdr>
            <w:top w:val="none" w:sz="0" w:space="0" w:color="auto"/>
            <w:left w:val="none" w:sz="0" w:space="0" w:color="auto"/>
            <w:bottom w:val="none" w:sz="0" w:space="0" w:color="auto"/>
            <w:right w:val="none" w:sz="0" w:space="0" w:color="auto"/>
          </w:divBdr>
        </w:div>
        <w:div w:id="178474165">
          <w:marLeft w:val="0"/>
          <w:marRight w:val="0"/>
          <w:marTop w:val="0"/>
          <w:marBottom w:val="0"/>
          <w:divBdr>
            <w:top w:val="none" w:sz="0" w:space="0" w:color="auto"/>
            <w:left w:val="none" w:sz="0" w:space="0" w:color="auto"/>
            <w:bottom w:val="none" w:sz="0" w:space="0" w:color="auto"/>
            <w:right w:val="none" w:sz="0" w:space="0" w:color="auto"/>
          </w:divBdr>
        </w:div>
      </w:divsChild>
    </w:div>
    <w:div w:id="1490899643">
      <w:bodyDiv w:val="1"/>
      <w:marLeft w:val="0"/>
      <w:marRight w:val="0"/>
      <w:marTop w:val="0"/>
      <w:marBottom w:val="0"/>
      <w:divBdr>
        <w:top w:val="none" w:sz="0" w:space="0" w:color="auto"/>
        <w:left w:val="none" w:sz="0" w:space="0" w:color="auto"/>
        <w:bottom w:val="none" w:sz="0" w:space="0" w:color="auto"/>
        <w:right w:val="none" w:sz="0" w:space="0" w:color="auto"/>
      </w:divBdr>
    </w:div>
    <w:div w:id="1502622993">
      <w:bodyDiv w:val="1"/>
      <w:marLeft w:val="0"/>
      <w:marRight w:val="0"/>
      <w:marTop w:val="0"/>
      <w:marBottom w:val="0"/>
      <w:divBdr>
        <w:top w:val="none" w:sz="0" w:space="0" w:color="auto"/>
        <w:left w:val="none" w:sz="0" w:space="0" w:color="auto"/>
        <w:bottom w:val="none" w:sz="0" w:space="0" w:color="auto"/>
        <w:right w:val="none" w:sz="0" w:space="0" w:color="auto"/>
      </w:divBdr>
      <w:divsChild>
        <w:div w:id="1492135764">
          <w:blockQuote w:val="1"/>
          <w:marLeft w:val="420"/>
          <w:marRight w:val="0"/>
          <w:marTop w:val="0"/>
          <w:marBottom w:val="0"/>
          <w:divBdr>
            <w:top w:val="none" w:sz="0" w:space="0" w:color="auto"/>
            <w:left w:val="single" w:sz="18" w:space="12" w:color="CCCCCC"/>
            <w:bottom w:val="none" w:sz="0" w:space="0" w:color="auto"/>
            <w:right w:val="none" w:sz="0" w:space="0" w:color="auto"/>
          </w:divBdr>
        </w:div>
        <w:div w:id="1849908050">
          <w:marLeft w:val="0"/>
          <w:marRight w:val="0"/>
          <w:marTop w:val="0"/>
          <w:marBottom w:val="0"/>
          <w:divBdr>
            <w:top w:val="none" w:sz="0" w:space="0" w:color="auto"/>
            <w:left w:val="none" w:sz="0" w:space="0" w:color="auto"/>
            <w:bottom w:val="none" w:sz="0" w:space="0" w:color="auto"/>
            <w:right w:val="none" w:sz="0" w:space="0" w:color="auto"/>
          </w:divBdr>
        </w:div>
        <w:div w:id="327174654">
          <w:marLeft w:val="0"/>
          <w:marRight w:val="0"/>
          <w:marTop w:val="0"/>
          <w:marBottom w:val="0"/>
          <w:divBdr>
            <w:top w:val="none" w:sz="0" w:space="0" w:color="auto"/>
            <w:left w:val="none" w:sz="0" w:space="0" w:color="auto"/>
            <w:bottom w:val="none" w:sz="0" w:space="0" w:color="auto"/>
            <w:right w:val="none" w:sz="0" w:space="0" w:color="auto"/>
          </w:divBdr>
          <w:divsChild>
            <w:div w:id="2707465">
              <w:marLeft w:val="0"/>
              <w:marRight w:val="0"/>
              <w:marTop w:val="0"/>
              <w:marBottom w:val="0"/>
              <w:divBdr>
                <w:top w:val="none" w:sz="0" w:space="0" w:color="auto"/>
                <w:left w:val="none" w:sz="0" w:space="0" w:color="auto"/>
                <w:bottom w:val="none" w:sz="0" w:space="0" w:color="auto"/>
                <w:right w:val="none" w:sz="0" w:space="0" w:color="auto"/>
              </w:divBdr>
            </w:div>
            <w:div w:id="458450635">
              <w:marLeft w:val="0"/>
              <w:marRight w:val="0"/>
              <w:marTop w:val="0"/>
              <w:marBottom w:val="0"/>
              <w:divBdr>
                <w:top w:val="none" w:sz="0" w:space="0" w:color="auto"/>
                <w:left w:val="none" w:sz="0" w:space="0" w:color="auto"/>
                <w:bottom w:val="none" w:sz="0" w:space="0" w:color="auto"/>
                <w:right w:val="none" w:sz="0" w:space="0" w:color="auto"/>
              </w:divBdr>
            </w:div>
          </w:divsChild>
        </w:div>
        <w:div w:id="1131631368">
          <w:blockQuote w:val="1"/>
          <w:marLeft w:val="420"/>
          <w:marRight w:val="0"/>
          <w:marTop w:val="0"/>
          <w:marBottom w:val="0"/>
          <w:divBdr>
            <w:top w:val="none" w:sz="0" w:space="0" w:color="auto"/>
            <w:left w:val="single" w:sz="18" w:space="12" w:color="CCCCCC"/>
            <w:bottom w:val="none" w:sz="0" w:space="0" w:color="auto"/>
            <w:right w:val="none" w:sz="0" w:space="0" w:color="auto"/>
          </w:divBdr>
        </w:div>
        <w:div w:id="770592243">
          <w:blockQuote w:val="1"/>
          <w:marLeft w:val="420"/>
          <w:marRight w:val="0"/>
          <w:marTop w:val="0"/>
          <w:marBottom w:val="0"/>
          <w:divBdr>
            <w:top w:val="none" w:sz="0" w:space="0" w:color="auto"/>
            <w:left w:val="single" w:sz="18" w:space="12" w:color="CCCCCC"/>
            <w:bottom w:val="none" w:sz="0" w:space="0" w:color="auto"/>
            <w:right w:val="none" w:sz="0" w:space="0" w:color="auto"/>
          </w:divBdr>
        </w:div>
        <w:div w:id="2046637624">
          <w:blockQuote w:val="1"/>
          <w:marLeft w:val="420"/>
          <w:marRight w:val="0"/>
          <w:marTop w:val="0"/>
          <w:marBottom w:val="0"/>
          <w:divBdr>
            <w:top w:val="none" w:sz="0" w:space="0" w:color="auto"/>
            <w:left w:val="single" w:sz="18" w:space="12" w:color="CCCCCC"/>
            <w:bottom w:val="none" w:sz="0" w:space="0" w:color="auto"/>
            <w:right w:val="none" w:sz="0" w:space="0" w:color="auto"/>
          </w:divBdr>
        </w:div>
        <w:div w:id="723258014">
          <w:blockQuote w:val="1"/>
          <w:marLeft w:val="420"/>
          <w:marRight w:val="0"/>
          <w:marTop w:val="0"/>
          <w:marBottom w:val="0"/>
          <w:divBdr>
            <w:top w:val="none" w:sz="0" w:space="0" w:color="auto"/>
            <w:left w:val="single" w:sz="18" w:space="12" w:color="CCCCCC"/>
            <w:bottom w:val="none" w:sz="0" w:space="0" w:color="auto"/>
            <w:right w:val="none" w:sz="0" w:space="0" w:color="auto"/>
          </w:divBdr>
        </w:div>
        <w:div w:id="1435780483">
          <w:marLeft w:val="0"/>
          <w:marRight w:val="0"/>
          <w:marTop w:val="0"/>
          <w:marBottom w:val="0"/>
          <w:divBdr>
            <w:top w:val="none" w:sz="0" w:space="0" w:color="auto"/>
            <w:left w:val="none" w:sz="0" w:space="0" w:color="auto"/>
            <w:bottom w:val="none" w:sz="0" w:space="0" w:color="auto"/>
            <w:right w:val="none" w:sz="0" w:space="0" w:color="auto"/>
          </w:divBdr>
        </w:div>
      </w:divsChild>
    </w:div>
    <w:div w:id="1568878444">
      <w:bodyDiv w:val="1"/>
      <w:marLeft w:val="0"/>
      <w:marRight w:val="0"/>
      <w:marTop w:val="0"/>
      <w:marBottom w:val="0"/>
      <w:divBdr>
        <w:top w:val="none" w:sz="0" w:space="0" w:color="auto"/>
        <w:left w:val="none" w:sz="0" w:space="0" w:color="auto"/>
        <w:bottom w:val="none" w:sz="0" w:space="0" w:color="auto"/>
        <w:right w:val="none" w:sz="0" w:space="0" w:color="auto"/>
      </w:divBdr>
    </w:div>
    <w:div w:id="1601178849">
      <w:bodyDiv w:val="1"/>
      <w:marLeft w:val="0"/>
      <w:marRight w:val="0"/>
      <w:marTop w:val="0"/>
      <w:marBottom w:val="0"/>
      <w:divBdr>
        <w:top w:val="none" w:sz="0" w:space="0" w:color="auto"/>
        <w:left w:val="none" w:sz="0" w:space="0" w:color="auto"/>
        <w:bottom w:val="none" w:sz="0" w:space="0" w:color="auto"/>
        <w:right w:val="none" w:sz="0" w:space="0" w:color="auto"/>
      </w:divBdr>
    </w:div>
    <w:div w:id="1650358715">
      <w:bodyDiv w:val="1"/>
      <w:marLeft w:val="0"/>
      <w:marRight w:val="0"/>
      <w:marTop w:val="0"/>
      <w:marBottom w:val="0"/>
      <w:divBdr>
        <w:top w:val="none" w:sz="0" w:space="0" w:color="auto"/>
        <w:left w:val="none" w:sz="0" w:space="0" w:color="auto"/>
        <w:bottom w:val="none" w:sz="0" w:space="0" w:color="auto"/>
        <w:right w:val="none" w:sz="0" w:space="0" w:color="auto"/>
      </w:divBdr>
      <w:divsChild>
        <w:div w:id="149450819">
          <w:marLeft w:val="0"/>
          <w:marRight w:val="0"/>
          <w:marTop w:val="0"/>
          <w:marBottom w:val="0"/>
          <w:divBdr>
            <w:top w:val="none" w:sz="0" w:space="0" w:color="auto"/>
            <w:left w:val="none" w:sz="0" w:space="0" w:color="auto"/>
            <w:bottom w:val="none" w:sz="0" w:space="0" w:color="auto"/>
            <w:right w:val="none" w:sz="0" w:space="0" w:color="auto"/>
          </w:divBdr>
        </w:div>
        <w:div w:id="1699812130">
          <w:marLeft w:val="0"/>
          <w:marRight w:val="0"/>
          <w:marTop w:val="0"/>
          <w:marBottom w:val="0"/>
          <w:divBdr>
            <w:top w:val="none" w:sz="0" w:space="0" w:color="auto"/>
            <w:left w:val="none" w:sz="0" w:space="0" w:color="auto"/>
            <w:bottom w:val="none" w:sz="0" w:space="0" w:color="auto"/>
            <w:right w:val="none" w:sz="0" w:space="0" w:color="auto"/>
          </w:divBdr>
          <w:divsChild>
            <w:div w:id="773477408">
              <w:marLeft w:val="0"/>
              <w:marRight w:val="0"/>
              <w:marTop w:val="0"/>
              <w:marBottom w:val="0"/>
              <w:divBdr>
                <w:top w:val="none" w:sz="0" w:space="0" w:color="auto"/>
                <w:left w:val="none" w:sz="0" w:space="0" w:color="auto"/>
                <w:bottom w:val="none" w:sz="0" w:space="0" w:color="auto"/>
                <w:right w:val="none" w:sz="0" w:space="0" w:color="auto"/>
              </w:divBdr>
              <w:divsChild>
                <w:div w:id="178449471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88544941">
          <w:marLeft w:val="0"/>
          <w:marRight w:val="0"/>
          <w:marTop w:val="0"/>
          <w:marBottom w:val="0"/>
          <w:divBdr>
            <w:top w:val="none" w:sz="0" w:space="0" w:color="auto"/>
            <w:left w:val="none" w:sz="0" w:space="0" w:color="auto"/>
            <w:bottom w:val="none" w:sz="0" w:space="0" w:color="auto"/>
            <w:right w:val="none" w:sz="0" w:space="0" w:color="auto"/>
          </w:divBdr>
        </w:div>
        <w:div w:id="1450781775">
          <w:marLeft w:val="0"/>
          <w:marRight w:val="0"/>
          <w:marTop w:val="0"/>
          <w:marBottom w:val="0"/>
          <w:divBdr>
            <w:top w:val="none" w:sz="0" w:space="0" w:color="auto"/>
            <w:left w:val="none" w:sz="0" w:space="0" w:color="auto"/>
            <w:bottom w:val="none" w:sz="0" w:space="0" w:color="auto"/>
            <w:right w:val="none" w:sz="0" w:space="0" w:color="auto"/>
          </w:divBdr>
          <w:divsChild>
            <w:div w:id="956908854">
              <w:marLeft w:val="0"/>
              <w:marRight w:val="0"/>
              <w:marTop w:val="0"/>
              <w:marBottom w:val="0"/>
              <w:divBdr>
                <w:top w:val="none" w:sz="0" w:space="0" w:color="auto"/>
                <w:left w:val="none" w:sz="0" w:space="0" w:color="auto"/>
                <w:bottom w:val="none" w:sz="0" w:space="0" w:color="auto"/>
                <w:right w:val="none" w:sz="0" w:space="0" w:color="auto"/>
              </w:divBdr>
              <w:divsChild>
                <w:div w:id="199741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036089">
      <w:bodyDiv w:val="1"/>
      <w:marLeft w:val="0"/>
      <w:marRight w:val="0"/>
      <w:marTop w:val="0"/>
      <w:marBottom w:val="0"/>
      <w:divBdr>
        <w:top w:val="none" w:sz="0" w:space="0" w:color="auto"/>
        <w:left w:val="none" w:sz="0" w:space="0" w:color="auto"/>
        <w:bottom w:val="none" w:sz="0" w:space="0" w:color="auto"/>
        <w:right w:val="none" w:sz="0" w:space="0" w:color="auto"/>
      </w:divBdr>
      <w:divsChild>
        <w:div w:id="945236336">
          <w:marLeft w:val="0"/>
          <w:marRight w:val="0"/>
          <w:marTop w:val="0"/>
          <w:marBottom w:val="0"/>
          <w:divBdr>
            <w:top w:val="none" w:sz="0" w:space="0" w:color="auto"/>
            <w:left w:val="none" w:sz="0" w:space="0" w:color="auto"/>
            <w:bottom w:val="none" w:sz="0" w:space="0" w:color="auto"/>
            <w:right w:val="none" w:sz="0" w:space="0" w:color="auto"/>
          </w:divBdr>
          <w:divsChild>
            <w:div w:id="1513689128">
              <w:marLeft w:val="0"/>
              <w:marRight w:val="0"/>
              <w:marTop w:val="0"/>
              <w:marBottom w:val="0"/>
              <w:divBdr>
                <w:top w:val="none" w:sz="0" w:space="0" w:color="auto"/>
                <w:left w:val="none" w:sz="0" w:space="0" w:color="auto"/>
                <w:bottom w:val="none" w:sz="0" w:space="0" w:color="auto"/>
                <w:right w:val="none" w:sz="0" w:space="0" w:color="auto"/>
              </w:divBdr>
              <w:divsChild>
                <w:div w:id="796096926">
                  <w:marLeft w:val="-225"/>
                  <w:marRight w:val="-225"/>
                  <w:marTop w:val="0"/>
                  <w:marBottom w:val="0"/>
                  <w:divBdr>
                    <w:top w:val="none" w:sz="0" w:space="0" w:color="auto"/>
                    <w:left w:val="none" w:sz="0" w:space="0" w:color="auto"/>
                    <w:bottom w:val="none" w:sz="0" w:space="0" w:color="auto"/>
                    <w:right w:val="none" w:sz="0" w:space="0" w:color="auto"/>
                  </w:divBdr>
                  <w:divsChild>
                    <w:div w:id="178218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634012">
              <w:marLeft w:val="0"/>
              <w:marRight w:val="0"/>
              <w:marTop w:val="0"/>
              <w:marBottom w:val="0"/>
              <w:divBdr>
                <w:top w:val="none" w:sz="0" w:space="0" w:color="auto"/>
                <w:left w:val="none" w:sz="0" w:space="0" w:color="auto"/>
                <w:bottom w:val="none" w:sz="0" w:space="0" w:color="auto"/>
                <w:right w:val="none" w:sz="0" w:space="0" w:color="auto"/>
              </w:divBdr>
            </w:div>
          </w:divsChild>
        </w:div>
        <w:div w:id="954754872">
          <w:marLeft w:val="0"/>
          <w:marRight w:val="-5250"/>
          <w:marTop w:val="0"/>
          <w:marBottom w:val="0"/>
          <w:divBdr>
            <w:top w:val="none" w:sz="0" w:space="0" w:color="auto"/>
            <w:left w:val="none" w:sz="0" w:space="0" w:color="auto"/>
            <w:bottom w:val="none" w:sz="0" w:space="0" w:color="auto"/>
            <w:right w:val="none" w:sz="0" w:space="0" w:color="auto"/>
          </w:divBdr>
          <w:divsChild>
            <w:div w:id="1709600387">
              <w:marLeft w:val="0"/>
              <w:marRight w:val="5250"/>
              <w:marTop w:val="0"/>
              <w:marBottom w:val="0"/>
              <w:divBdr>
                <w:top w:val="none" w:sz="0" w:space="0" w:color="auto"/>
                <w:left w:val="none" w:sz="0" w:space="0" w:color="auto"/>
                <w:bottom w:val="none" w:sz="0" w:space="0" w:color="auto"/>
                <w:right w:val="none" w:sz="0" w:space="0" w:color="auto"/>
              </w:divBdr>
              <w:divsChild>
                <w:div w:id="1441606251">
                  <w:marLeft w:val="0"/>
                  <w:marRight w:val="0"/>
                  <w:marTop w:val="0"/>
                  <w:marBottom w:val="450"/>
                  <w:divBdr>
                    <w:top w:val="none" w:sz="0" w:space="0" w:color="auto"/>
                    <w:left w:val="none" w:sz="0" w:space="0" w:color="auto"/>
                    <w:bottom w:val="none" w:sz="0" w:space="0" w:color="auto"/>
                    <w:right w:val="none" w:sz="0" w:space="0" w:color="auto"/>
                  </w:divBdr>
                  <w:divsChild>
                    <w:div w:id="1660647384">
                      <w:marLeft w:val="0"/>
                      <w:marRight w:val="0"/>
                      <w:marTop w:val="0"/>
                      <w:marBottom w:val="300"/>
                      <w:divBdr>
                        <w:top w:val="none" w:sz="0" w:space="0" w:color="auto"/>
                        <w:left w:val="none" w:sz="0" w:space="0" w:color="auto"/>
                        <w:bottom w:val="none" w:sz="0" w:space="0" w:color="auto"/>
                        <w:right w:val="none" w:sz="0" w:space="0" w:color="auto"/>
                      </w:divBdr>
                      <w:divsChild>
                        <w:div w:id="592275402">
                          <w:marLeft w:val="0"/>
                          <w:marRight w:val="0"/>
                          <w:marTop w:val="0"/>
                          <w:marBottom w:val="0"/>
                          <w:divBdr>
                            <w:top w:val="none" w:sz="0" w:space="0" w:color="auto"/>
                            <w:left w:val="none" w:sz="0" w:space="0" w:color="auto"/>
                            <w:bottom w:val="none" w:sz="0" w:space="0" w:color="auto"/>
                            <w:right w:val="none" w:sz="0" w:space="0" w:color="auto"/>
                          </w:divBdr>
                          <w:divsChild>
                            <w:div w:id="2056998118">
                              <w:marLeft w:val="0"/>
                              <w:marRight w:val="0"/>
                              <w:marTop w:val="0"/>
                              <w:marBottom w:val="0"/>
                              <w:divBdr>
                                <w:top w:val="none" w:sz="0" w:space="0" w:color="auto"/>
                                <w:left w:val="none" w:sz="0" w:space="0" w:color="auto"/>
                                <w:bottom w:val="none" w:sz="0" w:space="0" w:color="auto"/>
                                <w:right w:val="none" w:sz="0" w:space="0" w:color="auto"/>
                              </w:divBdr>
                              <w:divsChild>
                                <w:div w:id="1293056682">
                                  <w:blockQuote w:val="1"/>
                                  <w:marLeft w:val="0"/>
                                  <w:marRight w:val="0"/>
                                  <w:marTop w:val="0"/>
                                  <w:marBottom w:val="300"/>
                                  <w:divBdr>
                                    <w:top w:val="none" w:sz="0" w:space="0" w:color="auto"/>
                                    <w:left w:val="single" w:sz="36" w:space="15" w:color="E90607"/>
                                    <w:bottom w:val="none" w:sz="0" w:space="0" w:color="auto"/>
                                    <w:right w:val="none" w:sz="0" w:space="0" w:color="auto"/>
                                  </w:divBdr>
                                </w:div>
                              </w:divsChild>
                            </w:div>
                          </w:divsChild>
                        </w:div>
                      </w:divsChild>
                    </w:div>
                  </w:divsChild>
                </w:div>
              </w:divsChild>
            </w:div>
          </w:divsChild>
        </w:div>
      </w:divsChild>
    </w:div>
    <w:div w:id="1683170023">
      <w:bodyDiv w:val="1"/>
      <w:marLeft w:val="0"/>
      <w:marRight w:val="0"/>
      <w:marTop w:val="0"/>
      <w:marBottom w:val="0"/>
      <w:divBdr>
        <w:top w:val="none" w:sz="0" w:space="0" w:color="auto"/>
        <w:left w:val="none" w:sz="0" w:space="0" w:color="auto"/>
        <w:bottom w:val="none" w:sz="0" w:space="0" w:color="auto"/>
        <w:right w:val="none" w:sz="0" w:space="0" w:color="auto"/>
      </w:divBdr>
    </w:div>
    <w:div w:id="1745641371">
      <w:bodyDiv w:val="1"/>
      <w:marLeft w:val="0"/>
      <w:marRight w:val="0"/>
      <w:marTop w:val="0"/>
      <w:marBottom w:val="0"/>
      <w:divBdr>
        <w:top w:val="none" w:sz="0" w:space="0" w:color="auto"/>
        <w:left w:val="none" w:sz="0" w:space="0" w:color="auto"/>
        <w:bottom w:val="none" w:sz="0" w:space="0" w:color="auto"/>
        <w:right w:val="none" w:sz="0" w:space="0" w:color="auto"/>
      </w:divBdr>
      <w:divsChild>
        <w:div w:id="787546133">
          <w:marLeft w:val="0"/>
          <w:marRight w:val="0"/>
          <w:marTop w:val="0"/>
          <w:marBottom w:val="150"/>
          <w:divBdr>
            <w:top w:val="none" w:sz="0" w:space="4" w:color="auto"/>
            <w:left w:val="none" w:sz="0" w:space="0" w:color="auto"/>
            <w:bottom w:val="single" w:sz="6" w:space="4" w:color="DDDDDD"/>
            <w:right w:val="none" w:sz="0" w:space="0" w:color="auto"/>
          </w:divBdr>
        </w:div>
        <w:div w:id="226765619">
          <w:marLeft w:val="0"/>
          <w:marRight w:val="0"/>
          <w:marTop w:val="375"/>
          <w:marBottom w:val="0"/>
          <w:divBdr>
            <w:top w:val="none" w:sz="0" w:space="0" w:color="auto"/>
            <w:left w:val="none" w:sz="0" w:space="0" w:color="auto"/>
            <w:bottom w:val="none" w:sz="0" w:space="0" w:color="auto"/>
            <w:right w:val="none" w:sz="0" w:space="0" w:color="auto"/>
          </w:divBdr>
          <w:divsChild>
            <w:div w:id="619646847">
              <w:marLeft w:val="0"/>
              <w:marRight w:val="0"/>
              <w:marTop w:val="0"/>
              <w:marBottom w:val="0"/>
              <w:divBdr>
                <w:top w:val="none" w:sz="0" w:space="0" w:color="auto"/>
                <w:left w:val="none" w:sz="0" w:space="0" w:color="auto"/>
                <w:bottom w:val="none" w:sz="0" w:space="0" w:color="auto"/>
                <w:right w:val="none" w:sz="0" w:space="0" w:color="auto"/>
              </w:divBdr>
            </w:div>
            <w:div w:id="1975787879">
              <w:marLeft w:val="0"/>
              <w:marRight w:val="0"/>
              <w:marTop w:val="0"/>
              <w:marBottom w:val="0"/>
              <w:divBdr>
                <w:top w:val="none" w:sz="0" w:space="0" w:color="auto"/>
                <w:left w:val="none" w:sz="0" w:space="0" w:color="auto"/>
                <w:bottom w:val="none" w:sz="0" w:space="0" w:color="auto"/>
                <w:right w:val="none" w:sz="0" w:space="0" w:color="auto"/>
              </w:divBdr>
            </w:div>
          </w:divsChild>
        </w:div>
        <w:div w:id="1176962290">
          <w:marLeft w:val="0"/>
          <w:marRight w:val="0"/>
          <w:marTop w:val="120"/>
          <w:marBottom w:val="120"/>
          <w:divBdr>
            <w:top w:val="single" w:sz="6" w:space="6" w:color="EEEEEE"/>
            <w:left w:val="single" w:sz="6" w:space="0" w:color="EEEEEE"/>
            <w:bottom w:val="single" w:sz="6" w:space="6" w:color="EEEEEE"/>
            <w:right w:val="single" w:sz="6" w:space="0" w:color="EEEEEE"/>
          </w:divBdr>
        </w:div>
        <w:div w:id="1264731293">
          <w:marLeft w:val="0"/>
          <w:marRight w:val="0"/>
          <w:marTop w:val="0"/>
          <w:marBottom w:val="0"/>
          <w:divBdr>
            <w:top w:val="none" w:sz="0" w:space="0" w:color="auto"/>
            <w:left w:val="none" w:sz="0" w:space="0" w:color="auto"/>
            <w:bottom w:val="none" w:sz="0" w:space="0" w:color="auto"/>
            <w:right w:val="none" w:sz="0" w:space="0" w:color="auto"/>
          </w:divBdr>
          <w:divsChild>
            <w:div w:id="165826154">
              <w:marLeft w:val="0"/>
              <w:marRight w:val="0"/>
              <w:marTop w:val="0"/>
              <w:marBottom w:val="0"/>
              <w:divBdr>
                <w:top w:val="none" w:sz="0" w:space="0" w:color="auto"/>
                <w:left w:val="none" w:sz="0" w:space="0" w:color="auto"/>
                <w:bottom w:val="none" w:sz="0" w:space="0" w:color="auto"/>
                <w:right w:val="none" w:sz="0" w:space="0" w:color="auto"/>
              </w:divBdr>
              <w:divsChild>
                <w:div w:id="172307079">
                  <w:marLeft w:val="0"/>
                  <w:marRight w:val="0"/>
                  <w:marTop w:val="0"/>
                  <w:marBottom w:val="0"/>
                  <w:divBdr>
                    <w:top w:val="none" w:sz="0" w:space="0" w:color="auto"/>
                    <w:left w:val="none" w:sz="0" w:space="0" w:color="auto"/>
                    <w:bottom w:val="none" w:sz="0" w:space="0" w:color="auto"/>
                    <w:right w:val="none" w:sz="0" w:space="0" w:color="auto"/>
                  </w:divBdr>
                  <w:divsChild>
                    <w:div w:id="1659457729">
                      <w:marLeft w:val="0"/>
                      <w:marRight w:val="0"/>
                      <w:marTop w:val="0"/>
                      <w:marBottom w:val="0"/>
                      <w:divBdr>
                        <w:top w:val="none" w:sz="0" w:space="0" w:color="auto"/>
                        <w:left w:val="none" w:sz="0" w:space="0" w:color="auto"/>
                        <w:bottom w:val="none" w:sz="0" w:space="0" w:color="auto"/>
                        <w:right w:val="none" w:sz="0" w:space="0" w:color="auto"/>
                      </w:divBdr>
                      <w:divsChild>
                        <w:div w:id="1307978581">
                          <w:marLeft w:val="0"/>
                          <w:marRight w:val="0"/>
                          <w:marTop w:val="0"/>
                          <w:marBottom w:val="0"/>
                          <w:divBdr>
                            <w:top w:val="none" w:sz="0" w:space="0" w:color="auto"/>
                            <w:left w:val="none" w:sz="0" w:space="0" w:color="auto"/>
                            <w:bottom w:val="none" w:sz="0" w:space="0" w:color="auto"/>
                            <w:right w:val="none" w:sz="0" w:space="0" w:color="auto"/>
                          </w:divBdr>
                        </w:div>
                        <w:div w:id="1040007625">
                          <w:marLeft w:val="0"/>
                          <w:marRight w:val="0"/>
                          <w:marTop w:val="0"/>
                          <w:marBottom w:val="0"/>
                          <w:divBdr>
                            <w:top w:val="none" w:sz="0" w:space="0" w:color="auto"/>
                            <w:left w:val="none" w:sz="0" w:space="0" w:color="auto"/>
                            <w:bottom w:val="none" w:sz="0" w:space="0" w:color="auto"/>
                            <w:right w:val="none" w:sz="0" w:space="0" w:color="auto"/>
                          </w:divBdr>
                          <w:divsChild>
                            <w:div w:id="2051878370">
                              <w:marLeft w:val="0"/>
                              <w:marRight w:val="0"/>
                              <w:marTop w:val="0"/>
                              <w:marBottom w:val="0"/>
                              <w:divBdr>
                                <w:top w:val="none" w:sz="0" w:space="0" w:color="auto"/>
                                <w:left w:val="none" w:sz="0" w:space="0" w:color="auto"/>
                                <w:bottom w:val="none" w:sz="0" w:space="0" w:color="auto"/>
                                <w:right w:val="none" w:sz="0" w:space="0" w:color="auto"/>
                              </w:divBdr>
                              <w:divsChild>
                                <w:div w:id="970554138">
                                  <w:marLeft w:val="0"/>
                                  <w:marRight w:val="0"/>
                                  <w:marTop w:val="0"/>
                                  <w:marBottom w:val="0"/>
                                  <w:divBdr>
                                    <w:top w:val="none" w:sz="0" w:space="0" w:color="auto"/>
                                    <w:left w:val="none" w:sz="0" w:space="0" w:color="auto"/>
                                    <w:bottom w:val="none" w:sz="0" w:space="0" w:color="auto"/>
                                    <w:right w:val="none" w:sz="0" w:space="0" w:color="auto"/>
                                  </w:divBdr>
                                  <w:divsChild>
                                    <w:div w:id="1839005734">
                                      <w:marLeft w:val="0"/>
                                      <w:marRight w:val="0"/>
                                      <w:marTop w:val="0"/>
                                      <w:marBottom w:val="0"/>
                                      <w:divBdr>
                                        <w:top w:val="none" w:sz="0" w:space="0" w:color="auto"/>
                                        <w:left w:val="none" w:sz="0" w:space="0" w:color="auto"/>
                                        <w:bottom w:val="none" w:sz="0" w:space="0" w:color="auto"/>
                                        <w:right w:val="none" w:sz="0" w:space="0" w:color="auto"/>
                                      </w:divBdr>
                                    </w:div>
                                  </w:divsChild>
                                </w:div>
                                <w:div w:id="1174300722">
                                  <w:marLeft w:val="0"/>
                                  <w:marRight w:val="0"/>
                                  <w:marTop w:val="0"/>
                                  <w:marBottom w:val="0"/>
                                  <w:divBdr>
                                    <w:top w:val="none" w:sz="0" w:space="0" w:color="auto"/>
                                    <w:left w:val="none" w:sz="0" w:space="0" w:color="auto"/>
                                    <w:bottom w:val="none" w:sz="0" w:space="0" w:color="auto"/>
                                    <w:right w:val="none" w:sz="0" w:space="0" w:color="auto"/>
                                  </w:divBdr>
                                </w:div>
                                <w:div w:id="1876966112">
                                  <w:marLeft w:val="0"/>
                                  <w:marRight w:val="0"/>
                                  <w:marTop w:val="0"/>
                                  <w:marBottom w:val="0"/>
                                  <w:divBdr>
                                    <w:top w:val="none" w:sz="0" w:space="0" w:color="auto"/>
                                    <w:left w:val="none" w:sz="0" w:space="0" w:color="auto"/>
                                    <w:bottom w:val="none" w:sz="0" w:space="0" w:color="auto"/>
                                    <w:right w:val="none" w:sz="0" w:space="0" w:color="auto"/>
                                  </w:divBdr>
                                </w:div>
                                <w:div w:id="114558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561047">
      <w:bodyDiv w:val="1"/>
      <w:marLeft w:val="0"/>
      <w:marRight w:val="0"/>
      <w:marTop w:val="0"/>
      <w:marBottom w:val="0"/>
      <w:divBdr>
        <w:top w:val="none" w:sz="0" w:space="0" w:color="auto"/>
        <w:left w:val="none" w:sz="0" w:space="0" w:color="auto"/>
        <w:bottom w:val="none" w:sz="0" w:space="0" w:color="auto"/>
        <w:right w:val="none" w:sz="0" w:space="0" w:color="auto"/>
      </w:divBdr>
    </w:div>
    <w:div w:id="1917742386">
      <w:bodyDiv w:val="1"/>
      <w:marLeft w:val="0"/>
      <w:marRight w:val="0"/>
      <w:marTop w:val="0"/>
      <w:marBottom w:val="0"/>
      <w:divBdr>
        <w:top w:val="none" w:sz="0" w:space="0" w:color="auto"/>
        <w:left w:val="none" w:sz="0" w:space="0" w:color="auto"/>
        <w:bottom w:val="none" w:sz="0" w:space="0" w:color="auto"/>
        <w:right w:val="none" w:sz="0" w:space="0" w:color="auto"/>
      </w:divBdr>
      <w:divsChild>
        <w:div w:id="730428073">
          <w:marLeft w:val="225"/>
          <w:marRight w:val="225"/>
          <w:marTop w:val="0"/>
          <w:marBottom w:val="0"/>
          <w:divBdr>
            <w:top w:val="none" w:sz="0" w:space="0" w:color="auto"/>
            <w:left w:val="single" w:sz="12" w:space="8" w:color="ED1D26"/>
            <w:bottom w:val="none" w:sz="0" w:space="0" w:color="auto"/>
            <w:right w:val="none" w:sz="0" w:space="0" w:color="auto"/>
          </w:divBdr>
        </w:div>
      </w:divsChild>
    </w:div>
    <w:div w:id="1955750067">
      <w:bodyDiv w:val="1"/>
      <w:marLeft w:val="0"/>
      <w:marRight w:val="0"/>
      <w:marTop w:val="0"/>
      <w:marBottom w:val="0"/>
      <w:divBdr>
        <w:top w:val="none" w:sz="0" w:space="0" w:color="auto"/>
        <w:left w:val="none" w:sz="0" w:space="0" w:color="auto"/>
        <w:bottom w:val="none" w:sz="0" w:space="0" w:color="auto"/>
        <w:right w:val="none" w:sz="0" w:space="0" w:color="auto"/>
      </w:divBdr>
      <w:divsChild>
        <w:div w:id="130948273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91236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3007588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3218069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017961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8754045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783647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9389924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981742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864698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479591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5817355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3578965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0397615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962474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91491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060922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6161078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242202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181467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799005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3880834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6342160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083472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605603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3223864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995093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5971429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3641860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78756086">
      <w:bodyDiv w:val="1"/>
      <w:marLeft w:val="0"/>
      <w:marRight w:val="0"/>
      <w:marTop w:val="0"/>
      <w:marBottom w:val="0"/>
      <w:divBdr>
        <w:top w:val="none" w:sz="0" w:space="0" w:color="auto"/>
        <w:left w:val="none" w:sz="0" w:space="0" w:color="auto"/>
        <w:bottom w:val="none" w:sz="0" w:space="0" w:color="auto"/>
        <w:right w:val="none" w:sz="0" w:space="0" w:color="auto"/>
      </w:divBdr>
    </w:div>
    <w:div w:id="203865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huvienphapluat.vn/van-ban/Doanh-nghiep/Nghi-dinh-39-2019-ND-CP-to-chuc-va-hoat-dong-cua-Quy-Phat-trien-doanh-nghiep-nho-va-vua-325336.aspx?anchor=dieu_4" TargetMode="External"/><Relationship Id="rId21" Type="http://schemas.openxmlformats.org/officeDocument/2006/relationships/hyperlink" Target="https://thuvienphapluat.vn/van-ban/Doanh-nghiep/Luat-Ho-tro-doanh-nghiep-nho-va-vua-2017-320905.aspx?anchor=dieu_20" TargetMode="External"/><Relationship Id="rId34" Type="http://schemas.openxmlformats.org/officeDocument/2006/relationships/hyperlink" Target="https://thuvienphapluat.vn/van-ban/Doanh-nghiep/Luat-Doanh-nghiep-so-59-2020-QH14-427301.aspx" TargetMode="External"/><Relationship Id="rId42" Type="http://schemas.openxmlformats.org/officeDocument/2006/relationships/hyperlink" Target="https://thuvienphapluat.vn/van-ban/Chung-khoan/Luat-Chung-khoan-nam-2019-399763.aspx" TargetMode="External"/><Relationship Id="rId47" Type="http://schemas.openxmlformats.org/officeDocument/2006/relationships/hyperlink" Target="https://thuvienphapluat.vn/van-ban/Doanh-nghiep/Nghi-dinh-65-2022-ND-CP-sua-doi-Nghi-dinh-153-2020-ND-CP-chao-ban-giao-dich-trai-phieu-doanh-nghiep-529835.aspx" TargetMode="External"/><Relationship Id="rId50" Type="http://schemas.openxmlformats.org/officeDocument/2006/relationships/hyperlink" Target="https://thuvienphapluat.vn/van-ban/Doanh-nghiep/Nghi-dinh-65-2022-ND-CP-sua-doi-Nghi-dinh-153-2020-ND-CP-chao-ban-giao-dich-trai-phieu-doanh-nghiep-529835.aspx" TargetMode="External"/><Relationship Id="rId55" Type="http://schemas.openxmlformats.org/officeDocument/2006/relationships/hyperlink" Target="https://thuvienphapluat.vn/van-ban/Chung-khoan/Nghi-dinh-155-2020-ND-CP-huong-dan-Luat-Chung-khoan-461323.aspx" TargetMode="External"/><Relationship Id="rId63" Type="http://schemas.openxmlformats.org/officeDocument/2006/relationships/hyperlink" Target="file:///D:\L&#202;%20TH&#7854;M\New%20folder\T&#192;I%20LI&#7878;U%20N&#258;M%202023\T&#192;I%20LI&#7878;U%20N&#258;M%202023\CH&#431;&#416;NG%20TR&#204;NH%20B&#7896;%20T&#431;%20PH&#193;P\VI&#7878;N%20CH&#7882;%20NGA\&#272;&#7872;%20&#193;N%202023\DE%20AN%20VE%20HNDT%20TU%20VAN%20CHUYEN%20SAU%202023\23.3.VI&#7878;N%20KHCSPL.%20DE%20AN%20HN&#272;T%20t&#432;%20v&#7845;n%20chuy&#234;n%20s&#226;u.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sx.vn/lai-suat-cho-vay-toi-da-la-bao-nhieu/" TargetMode="External"/><Relationship Id="rId29" Type="http://schemas.openxmlformats.org/officeDocument/2006/relationships/hyperlink" Target="https://vanban.chinhphu.vn/?pageid=27160&amp;docid=171544" TargetMode="External"/><Relationship Id="rId11" Type="http://schemas.openxmlformats.org/officeDocument/2006/relationships/hyperlink" Target="https://www.sbv.gov.vn/webcenter/portal/vi/menu/trangchu?_afrLoop=15885249232785506" TargetMode="External"/><Relationship Id="rId24" Type="http://schemas.openxmlformats.org/officeDocument/2006/relationships/hyperlink" Target="https://thuvienphapluat.vn/van-ban/Doanh-nghiep/Nghi-dinh-39-2019-ND-CP-to-chuc-va-hoat-dong-cua-Quy-Phat-trien-doanh-nghiep-nho-va-vua-325336.aspx?anchor=dieu_4" TargetMode="External"/><Relationship Id="rId32" Type="http://schemas.openxmlformats.org/officeDocument/2006/relationships/hyperlink" Target="https://thuvienphapluat.vn/van-ban/Doanh-nghiep/Luat-Doanh-nghiep-so-59-2020-QH14-427301.aspx" TargetMode="External"/><Relationship Id="rId37" Type="http://schemas.openxmlformats.org/officeDocument/2006/relationships/hyperlink" Target="https://luatvietnam.vn/doanh-nghiep/von-dieu-le-co-phai-la-von-phap-dinh-khong-561-19863-article.html" TargetMode="External"/><Relationship Id="rId40" Type="http://schemas.openxmlformats.org/officeDocument/2006/relationships/hyperlink" Target="https://luatvietnam.vn/dau-tu/nghi-dinh-122-2021-nd-cp-chinh-phu-214947-d1.html" TargetMode="External"/><Relationship Id="rId45" Type="http://schemas.openxmlformats.org/officeDocument/2006/relationships/hyperlink" Target="https://thuvienphapluat.vn/van-ban/Chung-khoan/Nghi-dinh-153-2020-ND-CP-chao-ban-giao-dich-trai-phieu-doanh-nghiep-tai-thi-truong-trong-nuoc-461187.aspx" TargetMode="External"/><Relationship Id="rId53" Type="http://schemas.openxmlformats.org/officeDocument/2006/relationships/hyperlink" Target="https://thuvienphapluat.vn/van-ban/Chung-khoan/Nghi-dinh-153-2020-ND-CP-chao-ban-giao-dich-trai-phieu-doanh-nghiep-tai-thi-truong-trong-nuoc-461187.aspx" TargetMode="External"/><Relationship Id="rId58" Type="http://schemas.openxmlformats.org/officeDocument/2006/relationships/hyperlink" Target="https://thuvienphapluat.vn/van-ban/Chung-khoan/Nghi-dinh-155-2020-ND-CP-huong-dan-Luat-Chung-khoan-461323.aspx" TargetMode="External"/><Relationship Id="rId5" Type="http://schemas.openxmlformats.org/officeDocument/2006/relationships/webSettings" Target="webSettings.xml"/><Relationship Id="rId61" Type="http://schemas.openxmlformats.org/officeDocument/2006/relationships/hyperlink" Target="https://thuvienphapluat.vn/van-ban/Chung-khoan/Nghi-dinh-155-2020-ND-CP-huong-dan-Luat-Chung-khoan-461323.aspx" TargetMode="External"/><Relationship Id="rId19" Type="http://schemas.openxmlformats.org/officeDocument/2006/relationships/hyperlink" Target="https://luatminhkhue.vn/luat-hon-nhan-va-gia-dinh-moi-nam-2014-so-52-2014-qh13.aspx" TargetMode="External"/><Relationship Id="rId14" Type="http://schemas.openxmlformats.org/officeDocument/2006/relationships/hyperlink" Target="https://thuvienphapluat.vn/van-ban/Quyen-dan-su/Bo-luat-dan-su-2015-296215.aspx?anchor=dieu_463" TargetMode="External"/><Relationship Id="rId22" Type="http://schemas.openxmlformats.org/officeDocument/2006/relationships/hyperlink" Target="https://thuvienphapluat.vn/van-ban/Tai-chinh-nha-nuoc/Luat-ngan-sach-nha-nuoc-nam-2015-281762.aspx?anchor=khoan_19_4" TargetMode="External"/><Relationship Id="rId27" Type="http://schemas.openxmlformats.org/officeDocument/2006/relationships/hyperlink" Target="https://thuvienphapluat.vn/van-ban/Doanh-nghiep/Nghi-dinh-39-2019-ND-CP-to-chuc-va-hoat-dong-cua-Quy-Phat-trien-doanh-nghiep-nho-va-vua-325336.aspx?anchor=dieu_23" TargetMode="External"/><Relationship Id="rId30" Type="http://schemas.openxmlformats.org/officeDocument/2006/relationships/hyperlink" Target="https://thuvienphapluat.vn/van-ban/Doanh-nghiep/Luat-Doanh-nghiep-so-59-2020-QH14-427301.aspx" TargetMode="External"/><Relationship Id="rId35" Type="http://schemas.openxmlformats.org/officeDocument/2006/relationships/hyperlink" Target="https://thuvienphapluat.vn/van-ban/Doanh-nghiep/Luat-Doanh-nghiep-so-59-2020-QH14-427301.aspx" TargetMode="External"/><Relationship Id="rId43" Type="http://schemas.openxmlformats.org/officeDocument/2006/relationships/hyperlink" Target="https://thuvienphapluat.vn/van-ban/Chung-khoan/Nghi-dinh-153-2020-ND-CP-chao-ban-giao-dich-trai-phieu-doanh-nghiep-tai-thi-truong-trong-nuoc-461187.aspx" TargetMode="External"/><Relationship Id="rId48" Type="http://schemas.openxmlformats.org/officeDocument/2006/relationships/hyperlink" Target="https://thuvienphapluat.vn/van-ban/Chung-khoan/Nghi-dinh-153-2020-ND-CP-chao-ban-giao-dich-trai-phieu-doanh-nghiep-tai-thi-truong-trong-nuoc-461187.aspx" TargetMode="External"/><Relationship Id="rId56" Type="http://schemas.openxmlformats.org/officeDocument/2006/relationships/hyperlink" Target="https://thuvienphapluat.vn/van-ban/Chung-khoan/Nghi-dinh-155-2020-ND-CP-huong-dan-Luat-Chung-khoan-461323.aspx" TargetMode="External"/><Relationship Id="rId64" Type="http://schemas.openxmlformats.org/officeDocument/2006/relationships/fontTable" Target="fontTable.xml"/><Relationship Id="rId8" Type="http://schemas.openxmlformats.org/officeDocument/2006/relationships/hyperlink" Target="file:///D:\L&#202;%20TH&#7854;M\New%20folder\T&#192;I%20LI&#7878;U%20N&#258;M%202023\T&#192;I%20LI&#7878;U%20N&#258;M%202023\CH&#431;&#416;NG%20TR&#204;NH%20B&#7896;%20T&#431;%20PH&#193;P\VI&#7878;N%20CH&#7882;%20NGA\&#272;&#7872;%20&#193;N%202023\DE%20AN%20VE%20HNDT%20TU%20VAN%20CHUYEN%20SAU%202023\23.3.VI&#7878;N%20KHCSPL.%20DE%20AN%20HN&#272;T%20t&#432;%20v&#7845;n%20chuy&#234;n%20s&#226;u.doc" TargetMode="External"/><Relationship Id="rId51" Type="http://schemas.openxmlformats.org/officeDocument/2006/relationships/hyperlink" Target="https://thuvienphapluat.vn/van-ban/Chung-khoan/Luat-Chung-khoan-nam-2019-399763.aspx" TargetMode="External"/><Relationship Id="rId3" Type="http://schemas.openxmlformats.org/officeDocument/2006/relationships/styles" Target="styles.xml"/><Relationship Id="rId12" Type="http://schemas.openxmlformats.org/officeDocument/2006/relationships/hyperlink" Target="https://thuvienphapluat.vn/van-ban/Quyen-dan-su/Bo-luat-dan-su-2015-296215.aspx?anchor=dieu_3" TargetMode="External"/><Relationship Id="rId17" Type="http://schemas.openxmlformats.org/officeDocument/2006/relationships/hyperlink" Target="https://luatminhkhue.vn/thong-tu-so--39-2016-tt-nhnn-ngay-30-thang-12-nam-2016-quy-dinh-ve-hoat-dong-cho-vay-cua-to-chuc-tin-dung--chi-nhanh-ngan-hang-nuoc-ngoai-doi-voi-khach-hang.aspx" TargetMode="External"/><Relationship Id="rId25" Type="http://schemas.openxmlformats.org/officeDocument/2006/relationships/hyperlink" Target="https://thuvienphapluat.vn/van-ban/Doanh-nghiep/Nghi-dinh-39-2019-ND-CP-to-chuc-va-hoat-dong-cua-Quy-Phat-trien-doanh-nghiep-nho-va-vua-325336.aspx?anchor=dieu_16" TargetMode="External"/><Relationship Id="rId33" Type="http://schemas.openxmlformats.org/officeDocument/2006/relationships/hyperlink" Target="https://thuvienphapluat.vn/van-ban/Doanh-nghiep/Luat-Doanh-nghiep-so-59-2020-QH14-427301.aspx" TargetMode="External"/><Relationship Id="rId38" Type="http://schemas.openxmlformats.org/officeDocument/2006/relationships/hyperlink" Target="https://luatvietnam.vn/doanh-nghiep/co-can-chung-minh-von-dieu-le-khi-thanh-lap-cong-ty-khong-561-93726-article.html" TargetMode="External"/><Relationship Id="rId46" Type="http://schemas.openxmlformats.org/officeDocument/2006/relationships/hyperlink" Target="https://thuvienphapluat.vn/van-ban/Doanh-nghiep/Nghi-dinh-65-2022-ND-CP-sua-doi-Nghi-dinh-153-2020-ND-CP-chao-ban-giao-dich-trai-phieu-doanh-nghiep-529835.aspx" TargetMode="External"/><Relationship Id="rId59" Type="http://schemas.openxmlformats.org/officeDocument/2006/relationships/hyperlink" Target="https://thuvienphapluat.vn/van-ban/Chung-khoan/Nghi-dinh-155-2020-ND-CP-huong-dan-Luat-Chung-khoan-461323.aspx" TargetMode="External"/><Relationship Id="rId20" Type="http://schemas.openxmlformats.org/officeDocument/2006/relationships/hyperlink" Target="https://luatminhkhue.vn/thong-tu-21-2017-tt-nhnn-phuong-thuc-giai-ngan-von-cho-vay-cua-to-chuc-tin-dung-voi-khach-hang.aspx" TargetMode="External"/><Relationship Id="rId41" Type="http://schemas.openxmlformats.org/officeDocument/2006/relationships/hyperlink" Target="https://luatvietnam.vn/thue/nghi-dinh-139-2016-nd-cp-chinh-phu-109186-d1.html" TargetMode="External"/><Relationship Id="rId54" Type="http://schemas.openxmlformats.org/officeDocument/2006/relationships/hyperlink" Target="https://thuvienphapluat.vn/van-ban/Chung-khoan/Luat-Chung-khoan-nam-2019-399763.aspx" TargetMode="External"/><Relationship Id="rId62" Type="http://schemas.openxmlformats.org/officeDocument/2006/relationships/hyperlink" Target="https://www.dnse.com.vn/hoc/chi-so-roe-la-g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vienphapluat.vn/van-ban/Thu-tuc-To-tung/Bo-luat-to-tung-dan-su-2015-296861.aspx?anchor=dieu_466" TargetMode="External"/><Relationship Id="rId23" Type="http://schemas.openxmlformats.org/officeDocument/2006/relationships/hyperlink" Target="https://thuvienphapluat.vn/van-ban/Tien-te-Ngan-hang/Luat-cac-to-chuc-tin-dung-2010-108079.aspx?anchor=dieu_4" TargetMode="External"/><Relationship Id="rId28" Type="http://schemas.openxmlformats.org/officeDocument/2006/relationships/hyperlink" Target="https://vanban.chinhphu.vn/?pageid=27160&amp;docid=175216" TargetMode="External"/><Relationship Id="rId36" Type="http://schemas.openxmlformats.org/officeDocument/2006/relationships/hyperlink" Target="https://thuvienphapluat.vn/van-ban/Doanh-nghiep/Luat-Doanh-nghiep-so-59-2020-QH14-427301.aspx" TargetMode="External"/><Relationship Id="rId49" Type="http://schemas.openxmlformats.org/officeDocument/2006/relationships/hyperlink" Target="https://thuvienphapluat.vn/van-ban/Chung-khoan/Nghi-dinh-153-2020-ND-CP-chao-ban-giao-dich-trai-phieu-doanh-nghiep-tai-thi-truong-trong-nuoc-461187.aspx" TargetMode="External"/><Relationship Id="rId57" Type="http://schemas.openxmlformats.org/officeDocument/2006/relationships/hyperlink" Target="https://thuvienphapluat.vn/van-ban/Chung-khoan/Nghi-dinh-155-2020-ND-CP-huong-dan-Luat-Chung-khoan-461323.aspx" TargetMode="External"/><Relationship Id="rId10" Type="http://schemas.openxmlformats.org/officeDocument/2006/relationships/hyperlink" Target="https://www.blawyersvn.com/blog/challenges-when-enterprises-register-foreign-loans-in-vietnam/" TargetMode="External"/><Relationship Id="rId31" Type="http://schemas.openxmlformats.org/officeDocument/2006/relationships/hyperlink" Target="https://thuvienphapluat.vn/van-ban/Doanh-nghiep/Luat-Doanh-nghiep-so-59-2020-QH14-427301.aspx" TargetMode="External"/><Relationship Id="rId44" Type="http://schemas.openxmlformats.org/officeDocument/2006/relationships/hyperlink" Target="https://thuvienphapluat.vn/van-ban/Doanh-nghiep/Nghi-dinh-65-2022-ND-CP-sua-doi-Nghi-dinh-153-2020-ND-CP-chao-ban-giao-dich-trai-phieu-doanh-nghiep-529835.aspx" TargetMode="External"/><Relationship Id="rId52" Type="http://schemas.openxmlformats.org/officeDocument/2006/relationships/hyperlink" Target="https://thuvienphapluat.vn/van-ban/Doanh-nghiep/Nghi-dinh-65-2022-ND-CP-sua-doi-Nghi-dinh-153-2020-ND-CP-chao-ban-giao-dich-trai-phieu-doanh-nghiep-529835.aspx" TargetMode="External"/><Relationship Id="rId60" Type="http://schemas.openxmlformats.org/officeDocument/2006/relationships/hyperlink" Target="https://thuvienphapluat.vn/van-ban/Chung-khoan/Nghi-dinh-155-2020-ND-CP-huong-dan-Luat-Chung-khoan-461323.aspx"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thuvienphapluat.vn/phap-luat/tag/to-chuc-tin-dung" TargetMode="External"/><Relationship Id="rId18" Type="http://schemas.openxmlformats.org/officeDocument/2006/relationships/hyperlink" Target="https://luatminhkhue.vn/bo-luat-dan-su-nam-2015.aspx" TargetMode="External"/><Relationship Id="rId39" Type="http://schemas.openxmlformats.org/officeDocument/2006/relationships/hyperlink" Target="https://luatvietnam.vn/doanh-nghiep/tai-san-gop-von-la-gi-561-93436-articl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BBF8-C6AA-4843-89BB-22894B13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107</Pages>
  <Words>33646</Words>
  <Characters>191788</Characters>
  <Application>Microsoft Office Word</Application>
  <DocSecurity>0</DocSecurity>
  <Lines>1598</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106</cp:revision>
  <dcterms:created xsi:type="dcterms:W3CDTF">2022-10-13T06:43:00Z</dcterms:created>
  <dcterms:modified xsi:type="dcterms:W3CDTF">2023-05-31T07:30:00Z</dcterms:modified>
</cp:coreProperties>
</file>